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OBDC</w:t>
      </w:r>
      <w:r>
        <w:rPr>
          <w:rFonts w:ascii="Calibri" w:hAnsi="Calibri"/>
          <w:b/>
          <w:color w:val="1A2010"/>
          <w:sz w:val="40"/>
        </w:rPr>
        <w:t xml:space="preserve">  Blue Owl Capital Corporation</w:t>
      </w:r>
    </w:p>
    <w:p>
      <w:pPr>
        <w:spacing w:after="120"/>
      </w:pPr>
      <w:r>
        <w:rPr>
          <w:rFonts w:ascii="Calibri" w:hAnsi="Calibri"/>
          <w:b/>
          <w:color w:val="6E8450"/>
          <w:sz w:val="18"/>
        </w:rPr>
        <w:t>DIVIDEND SLEEVE · 2026-10-16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Asset Management - BDC · NYSE · United States</w:t>
      </w:r>
    </w:p>
    <w:p>
      <w:pPr>
        <w:spacing w:after="80"/>
      </w:pPr>
      <w:r>
        <w:rPr>
          <w:rFonts w:ascii="Calibri" w:hAnsi="Calibri"/>
          <w:b w:val="0"/>
          <w:color w:val="3A4A28"/>
          <w:sz w:val="20"/>
        </w:rPr>
        <w:t>Blue Owl Capital Corporation is a publicly traded business development company (BDC) externally managed by Blue Owl Capital Advisors, providing direct lending primarily to U.S. middle-market companies with a portfolio of approximately $19B at fair value. Formed through the January 2025 merger of OBDC and OBDE, the combined entity is one of the largest publicly traded BDCs. Q2 2026 total investment income was $401.3M with GAAP NII of $0.36/share, NAV of $14.26/share, and non-accruals at 2.8% of portfolio cost [1].</w:t>
      </w:r>
    </w:p>
    <w:p>
      <w:r>
        <w:rPr>
          <w:rFonts w:ascii="Calibri" w:hAnsi="Calibri"/>
          <w:b/>
          <w:color w:val="6E8450"/>
          <w:sz w:val="18"/>
        </w:rPr>
        <w:t>https://www.blueowlcapitalcorporation.com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The $13B merger with OBDE in January 2025 created one of the largest publicly traded BDCs, but this was financial consolidation rather than product innovation — the underlying direct lending business model remained unchanged [1][3]. AI Deployment (0/2): No AI-powered products, tools, or measurable AI-driven cost savings are evident in OBDC's operations or investor disclosures. Market Share (1/2): Blue Owl's direct lending platform is a meaningful player in the middle-market space with a $19B+ portfolio at fair value, but it is not the category leader — Ares Capital (ARCC) and other large BDCs hold larger market positions [1]. Product Pipeline (0/2): No next-generation products or services announced; the company operates a traditional direct lending model with no visible pipeline innovation. R&amp;D Intensity (0/1): BDCs do not conduct R&amp;D; the externally managed structure delegates all investment management to Blue Owl Capital Advisors.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Blue Owl Capital describes itself as deploying capital across 'best-in-class platforms' to generate risk-adjusted returns for investors — generic financial services language interchangeable with any asset manager or BDC [4]. The mission articulates no deeper purpose beyond capital deployment and returns. Community Impact (0/2): Blue Owl is a signatory to the United Nations Principles for Responsible Investing (PRI) and maintains an ESG integration policy, but no specific charitable programs, foundation activities, or community investments with dollar amounts were identified [4]. Employee Retention (0/2): OBDC is externally managed with no direct employees; organizational culture and retention metrics are not applicable to the BDC entity itself. Insider Buying (0/2): No evidence of meaningful net insider buying by Blue Owl executives or OBDC board members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on available metrics. Forward P/E of approximately 8x based on annualized GAAP NII of $1.44/share is well below the 20 target (score 1.0), and net investment income margin of approximately 44% exceeds the 20% profit margin target (score 1.0) [1]. ROE of approximately 10.1% (annualized NII divided by NAV of $14.26) falls short of the 15% target (score 0.67). D/E estimated at 115% reflecting standard BDC leverage of approximately 1.15x is above the 70% target but within the 300% floor (score 0.80) [4]. Consecutive years of dividend payments at 10 since 2016 inception meets the target (score 1.0, 2x weight), but consecutive years of growth is 0 after the base dividend cut to $0.31/share in Q1 2026 (score 0.0), and 5-year dividend growth CAGR is approximately 0% as the current base matches the 2021 level (score 0.0, 2x weight) [3]. Payout ratio of 86% on the base dividend is near the 100% floor (score 0.23). Daily dollar volume of $38.7M provides adequate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OBDC operates as a pure income vehicle designed to generate and distribute net investment income to shareholders — a fundamentally finite game objective. The externally managed BDC structure delegates all strategic decisions to Blue Owl Capital Advisors, leaving the entity with no independent purpose, culture, or workforce. While the OBDE merger demonstrated some strategic ambition, the core business model is transactional and quarterly-income-focused, with no articulated vision beyond capital deployment and dividend coverage.</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OBDC exists to deploy capital in direct lending and distribute income to shareholders. There is no articulated Just Cause — no vision of a future state, no purpose beyond financial returns. The company's investor materials focus exclusively on NII per share, NAV, and dividend coverage [1][3]. This is a finite player by design.</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OBDC is externally managed by Blue Owl Capital Advisors with zero direct employees. The BDC entity itself has no organizational culture, no employee relationships, and no internal trust dynamics to assess. The board of directors provides oversight but does not constitute an operating team [4].</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OBDC's competitive positioning focuses on AUM size, dividend yield, and NAV stability relative to peers like ARCC, BXSL, and MAIN. The language is about market positioning and scale advantages — a finite competitive mindset focused on relative performance metrics rather than self-improvement through competitive pressure.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OBDE merger in January 2025 transformed the vehicle's scale from a single BDC to one of the largest publicly traded direct lending platforms, demonstrating willingness to evolve [1]. Additionally, the expansion into specialty finance income and diversification beyond traditional first-lien lending shows incremental strategic adaptation. However, the fundamental BDC business model remains unchanged.</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decision to cut the base dividend from approximately $0.35 to $0.31/share in Q1 2026, despite investor backlash, demonstrated willingness to choose long-term sustainability over short-term income maximization [3]. The OBDE merger also required absorbing integration complexity. However, these decisions were defensive rather than visionary — there is no pattern of investing through downturns or making costly long-term bets for future capability.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OBDC at $10.35 with a $5.1B market cap trades at a 27% discount to NAV of $14.26/share, offering a 12.75% annualized dividend yield backed by Q2 2026 GAAP NII of $0.36/share that covers the $0.33 total quarterly distribution with $0.29/share of spillover income providing additional cushion [1][3]. The January 2025 OBDE merger created one of the largest publicly traded BDCs with a $19B+ portfolio at fair value, and the Blue Owl direct lending platform benefits from strong origination relationships, low average LTV of 30%, and an annualized net realized loss rate of just 8 basis points [2]. Total investment income of $401.3M in Q2 2026 beat the $394M estimate, demonstrating resilient portfolio performance despite the falling rate environment.</w:t>
      </w:r>
    </w:p>
    <w:p>
      <w:pPr>
        <w:spacing w:after="120"/>
      </w:pPr>
      <w:r>
        <w:rPr>
          <w:rFonts w:ascii="Calibri" w:hAnsi="Calibri"/>
          <w:b w:val="0"/>
          <w:color w:val="3A4A28"/>
          <w:sz w:val="20"/>
        </w:rPr>
        <w:t>The bear case centers on secular NII headwinds and portfolio credit risk. Federal funds rate cuts are compressing floating-rate portfolio yields, driving the base dividend cut from approximately $0.35 to $0.31/share in Q1 2026 with further reductions possible if rates continue declining [3]. Non-accruals rose to 2.8% of portfolio cost in Q2 2026 from 2.0% in Q1, indicating deteriorating credit quality in a subset of borrowers [1]. The 18% software borrower exposure faces AI disruption risk that analysts and investors have flagged as a structural concern, with the stock trading below its IPO price [2][4]. The externally managed structure means shareholders bear management fees regardless of performance, and the persistent 27% discount to NAV suggests the market has structurally repriced the risk-reward profile of leveraged direct lending in a declining rate environment.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Wide NAV discount of 27% ($10.35 vs $14.26 NAV) provides significant margin of safety if credit performance stabilizes and the BDC sector recovers toward historical averages of 0.95-1.05x NAV [1]</w:t>
      </w:r>
    </w:p>
    <w:p>
      <w:pPr>
        <w:spacing w:before="40" w:after="40"/>
        <w:ind w:left="283"/>
      </w:pPr>
      <w:r>
        <w:rPr>
          <w:rFonts w:ascii="Calibri" w:hAnsi="Calibri"/>
          <w:b/>
          <w:color w:val="4A6B25"/>
          <w:sz w:val="20"/>
        </w:rPr>
        <w:t xml:space="preserve">2. </w:t>
      </w:r>
      <w:r>
        <w:rPr>
          <w:rFonts w:ascii="Calibri" w:hAnsi="Calibri"/>
          <w:b w:val="0"/>
          <w:color w:val="3A4A28"/>
          <w:sz w:val="20"/>
        </w:rPr>
        <w:t>Spillover income of $0.29/share provides 93% coverage of the base quarterly dividend independently, suggesting the $0.31/share distribution is sustainable even if NII declines further from rate cuts [1][3]</w:t>
      </w:r>
    </w:p>
    <w:p>
      <w:pPr>
        <w:spacing w:before="40" w:after="40"/>
        <w:ind w:left="283"/>
      </w:pPr>
      <w:r>
        <w:rPr>
          <w:rFonts w:ascii="Calibri" w:hAnsi="Calibri"/>
          <w:b/>
          <w:color w:val="4A6B25"/>
          <w:sz w:val="20"/>
        </w:rPr>
        <w:t xml:space="preserve">3. </w:t>
      </w:r>
      <w:r>
        <w:rPr>
          <w:rFonts w:ascii="Calibri" w:hAnsi="Calibri"/>
          <w:b w:val="0"/>
          <w:color w:val="3A4A28"/>
          <w:sz w:val="20"/>
        </w:rPr>
        <w:t>Blue Owl's origination platform with low 30% average LTV and 8bps annualized net realized loss rate provides downside protection in a potential credit cycle, with the merged OBDC/OBDE entity offering scale advantages in deal sourcing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Federal Reserve rate cuts will compress floating-rate portfolio yields — each 100bps cut reduces annualized NII by approximately $0.10-0.12/share, potentially forcing additional base dividend reductions below the current $0.31/share and driving further share price declines [3]</w:t>
      </w:r>
    </w:p>
    <w:p>
      <w:pPr>
        <w:spacing w:before="40" w:after="40"/>
        <w:ind w:left="283"/>
      </w:pPr>
      <w:r>
        <w:rPr>
          <w:rFonts w:ascii="Calibri" w:hAnsi="Calibri"/>
          <w:b/>
          <w:color w:val="4A6B25"/>
          <w:sz w:val="20"/>
        </w:rPr>
        <w:t xml:space="preserve">2. </w:t>
      </w:r>
      <w:r>
        <w:rPr>
          <w:rFonts w:ascii="Calibri" w:hAnsi="Calibri"/>
          <w:b w:val="0"/>
          <w:color w:val="3A4A28"/>
          <w:sz w:val="20"/>
        </w:rPr>
        <w:t>Non-accruals rising from 2.0% to 2.8% of portfolio cost in a single quarter suggests a potential credit deterioration cycle, and the 18% software borrower concentration faces AI disruption risk that could impair credit quality across multiple names simultaneously [1][4]</w:t>
      </w:r>
    </w:p>
    <w:p>
      <w:pPr>
        <w:spacing w:before="40" w:after="40"/>
        <w:ind w:left="283"/>
      </w:pPr>
      <w:r>
        <w:rPr>
          <w:rFonts w:ascii="Calibri" w:hAnsi="Calibri"/>
          <w:b/>
          <w:color w:val="4A6B25"/>
          <w:sz w:val="20"/>
        </w:rPr>
        <w:t xml:space="preserve">3. </w:t>
      </w:r>
      <w:r>
        <w:rPr>
          <w:rFonts w:ascii="Calibri" w:hAnsi="Calibri"/>
          <w:b w:val="0"/>
          <w:color w:val="3A4A28"/>
          <w:sz w:val="20"/>
        </w:rPr>
        <w:t>The externally managed BDC structure creates a permanent fee drag with management and incentive fees paid to Blue Owl Capital Advisors regardless of stock price performance, misaligning incentives between the adviser and public shareholders in a persistent NAV discount environment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The direct lending business model is structurally protected — credit underwriting requires deep due diligence, relationship management, borrower monitoring, and restructuring expertise that AI cannot easily replicate [2]. However, OBDC faces meaningful second-order AI disruption risk through its portfolio: the Q2 2026 10-Q reports 18% of the portfolio in software borrowers, and AI-driven disruption could impair borrower credit quality and revenue streams [4]. Non-accruals rose to 2.8% of portfolio cost in Q2 2026 from 2.0% in Q1, suggesting emerging portfolio stress [1]. Co-CEO Marc Lipschultz described the tech portfolio as 'the most pristine among all subsectors' with average loan-to-value near 30% and annualized net realized losses of just 8 basis points, but press coverage of investor concern over software exposure indicates market skepticism [2]. AI Opportunity (0/1): No AI-related revenue; OBDC is a financial intermediary without AI products or services.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Blue Owl Capital Corporation Q2 2026 Earnings Release — $401.3M Investment Income, GAAP NII $0.36/share, NAV $14.26/share, Non-Accruals 2.8% — SEC Form 8-K, August 2026</w:t>
      </w:r>
    </w:p>
    <w:p>
      <w:pPr>
        <w:spacing w:before="20" w:after="20"/>
        <w:ind w:left="170"/>
      </w:pPr>
      <w:r>
        <w:rPr>
          <w:rFonts w:ascii="Calibri" w:hAnsi="Calibri"/>
          <w:b/>
          <w:color w:val="4A6B25"/>
          <w:sz w:val="15"/>
        </w:rPr>
        <w:t xml:space="preserve">2. </w:t>
      </w:r>
      <w:r>
        <w:rPr>
          <w:rFonts w:ascii="Calibri" w:hAnsi="Calibri"/>
          <w:b w:val="0"/>
          <w:color w:val="3A4A28"/>
          <w:sz w:val="17"/>
        </w:rPr>
        <w:t>Blue Owl Capital Q4 2025 Earnings Call — Co-CEO Marc Lipschultz on AI and Tech Portfolio, Software LTV 30%, Net Realized Loss 8bps — Benzinga, IDN Financials, February 2026</w:t>
      </w:r>
    </w:p>
    <w:p>
      <w:pPr>
        <w:spacing w:before="20" w:after="20"/>
        <w:ind w:left="170"/>
      </w:pPr>
      <w:r>
        <w:rPr>
          <w:rFonts w:ascii="Calibri" w:hAnsi="Calibri"/>
          <w:b/>
          <w:color w:val="4A6B25"/>
          <w:sz w:val="15"/>
        </w:rPr>
        <w:t xml:space="preserve">3. </w:t>
      </w:r>
      <w:r>
        <w:rPr>
          <w:rFonts w:ascii="Calibri" w:hAnsi="Calibri"/>
          <w:b w:val="0"/>
          <w:color w:val="3A4A28"/>
          <w:sz w:val="17"/>
        </w:rPr>
        <w:t>Blue Owl Capital Corporation Q1 2026 Earnings Release — Base Dividend Cut to $0.31/share, Adjusted NII $0.31/share, Spillover Income $0.29/share — May 2026</w:t>
      </w:r>
    </w:p>
    <w:p>
      <w:pPr>
        <w:spacing w:before="20" w:after="20"/>
        <w:ind w:left="170"/>
      </w:pPr>
      <w:r>
        <w:rPr>
          <w:rFonts w:ascii="Calibri" w:hAnsi="Calibri"/>
          <w:b/>
          <w:color w:val="4A6B25"/>
          <w:sz w:val="15"/>
        </w:rPr>
        <w:t xml:space="preserve">4. </w:t>
      </w:r>
      <w:r>
        <w:rPr>
          <w:rFonts w:ascii="Calibri" w:hAnsi="Calibri"/>
          <w:b w:val="0"/>
          <w:color w:val="3A4A28"/>
          <w:sz w:val="17"/>
        </w:rPr>
        <w:t>Blue Owl Capital Corp 10-Q and ESG Disclosures — Software Borrower Exposure 18%, AI Risk Factor, PRI Signatory — SEC Filing, Blue Owl,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