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OCG</w:t>
      </w:r>
      <w:r>
        <w:rPr>
          <w:rFonts w:ascii="Calibri" w:hAnsi="Calibri"/>
          <w:b/>
          <w:color w:val="1A2010"/>
          <w:sz w:val="40"/>
        </w:rPr>
        <w:t xml:space="preserve">  Oriental Culture Holding LTD</w:t>
      </w:r>
    </w:p>
    <w:p>
      <w:pPr>
        <w:spacing w:after="120"/>
      </w:pPr>
      <w:r>
        <w:rPr>
          <w:rFonts w:ascii="Calibri" w:hAnsi="Calibri"/>
          <w:b/>
          <w:color w:val="6E8450"/>
          <w:sz w:val="18"/>
        </w:rPr>
        <w:t>GROWTH SLEEVE · 2026-09-12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NASDAQ · Hong Kong</w:t>
      </w:r>
    </w:p>
    <w:p>
      <w:pPr>
        <w:spacing w:after="80"/>
      </w:pPr>
      <w:r>
        <w:rPr>
          <w:rFonts w:ascii="Calibri" w:hAnsi="Calibri"/>
          <w:b w:val="0"/>
          <w:color w:val="3A4A28"/>
          <w:sz w:val="20"/>
        </w:rPr>
        <w:t>Oriental Culture Holding operates an online platform facilitating e-commerce trading of artwork, collectibles, and commodities primarily in China and Hong Kong. On July 27, 2026, the company sold 100% of its core subsidiary (China International Assets Equity of Artworks Exchange Limited) for HK$1M and announced a strategic pivot to platform support services for third-party trading platforms. The company previously executed a 1-for-220 reverse stock split and paid a special cash dividend of $0.15/share (9.80% yield). Active traders on the platform collapsed from 15,124 to 4,504 following a prior investigation that materially harmed customer confidence, though charges against key shareholders were dropped in May 2025. Market cap is $2.97M against $35.34M in cash.</w:t>
      </w:r>
    </w:p>
    <w:p>
      <w:r>
        <w:rPr>
          <w:rFonts w:ascii="Calibri" w:hAnsi="Calibri"/>
          <w:b/>
          <w:color w:val="6E8450"/>
          <w:sz w:val="18"/>
        </w:rPr>
        <w:t>13 Employees · https://www.ocgroup.hk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Full-year 2025 revenue of $1.89M (+203.3% YoY) masks a business in active decline — H1 2025 interim revenue collapsed 68.4% YoY to ~$0.1M, active platform traders fell from 15,124 to 4,504, and the company sold its core art exchange subsidiary for just HK$1M ($128K) in July 2026, effectively abandoning its original business model [1][2]. This is not innovation; it is retreat. AI Deployment (0/2): No evidence of any AI product, tool, or strategy in either the art e-commerce or the planned platform support business. Market Share (0/2): The company is exiting its core market entirely — the subsidiary sale represents a complete withdrawal from art/collectibles e-commerce rather than any competitive positioning [2]. Pipeline (0/2): The announced pivot to 'service-oriented business that supports third-party trading platforms' has no specifics — no named partners, no product details, no revenue projections, no timeline [2]. R&amp;D Intensity (0/1): A 13-person company (down from 33) with no visible technology investment or development activity.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company previously aspired to be a 'dominant, innovative leader in digital collectibles e-commerce,' but the sale of its core art exchange subsidiary in July 2026 renders this mission moot — the company has abandoned the business it was built around with no articulated replacement purpose for the platform support pivot [2]. The cultural heritage aspect of art trading gave the company a thin veneer of purpose, but that is now gone. Community Impact (0/2): No charitable programs or community investment found for a 13-person company. Employee Retention (0/2): Headcount has fallen from 33 to 13 employees, a nearly 60% reduction that signals organizational dissolution rather than a stable, mission-driven team. Insider Buying (0/2): The prior issuance of 12 million super-voting preferred shares (15 votes each) to COO Aimin Kong's entity concentrates control but is not evidence of open-market insider buying; no net insider purchases were identified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71,679 shares x $1.53 stock price = ~$109,669 daily dollar volume, far below the $1M minimum threshold — Infrastructure score forced to 0 [1]. The company sits on $35.34M in cash against virtually no debt, producing a negative enterprise value of -$32.37M and a $2.97M market cap — an extreme discount to net cash that reflects near-total market distrust in governance and the operating business [1]. ROE of -6.74% and profit margin of -204.25% (net loss of $3.86M on $1.89M revenue) confirm the core business destroys value. The 52-week stock decline of -99.94% (post 1-for-220 reverse split) indicates catastrophic value destruction. The $0.15 special dividend (9.80% yield) is funded from the cash pile, not earnings, and represents a negligible fraction of the $35.34M cash balance.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Oriental Culture Holding shows no evidence of infinite-game thinking beyond a desperation-driven business pivot. The company sold its core art exchange subsidiary for HK$1M in July 2026, paid a special dividend from its cash pile, shrank from 33 to 13 employees, and concentrated voting control through super-voting preferred shares — every signal points to a company managing compliance and decline rather than building toward an enduring purpose [2][3]. The charges dropped against key shareholders in May 2025 resolved a legal crisis but did not reverse the fundamental collapse of the operating business.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evidence of a genuine cause beyond survival. The company has abandoned its original art e-commerce business (selling the subsidiary for HK$1M) and announced an undefined pivot to 'platform support services' with no articulated vision for why this pivot serves any purpose beyond keeping the Nasdaq listing and cash pile intact [2][3].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count has fallen from 33 to 13 — a 60% reduction — and voting control is concentrated through 12 million super-voting preferred shares (15 votes each) held by COO Aimin Kong's entity. Both signals indicate an organization oriented around leadership control and survival rather than psychological safety, trust, or employee empowerment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Oriental Culture references or learns from competitors. The company has exited its primary market entirely by selling its art exchange subsidiary, making competitive positioning analysis moot. Available communications focus on capital structure, dividends, and governance rather than competitive dynamics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July 2026 sale of the core art exchange subsidiary and announced pivot to platform support services represents a genuine strategic shift — the company is willing to abandon its founding business model. However, this reads as a necessity-driven response to a collapsing business (active traders down from 15,124 to 4,504) rather than a cause-driven transformation, and the replacement business has no visible substance yet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Leadership's actions — a special dividend timed to a listing anniversary, a reverse split for compliance, and selling the core subsidiary for HK$1M — reflect short-term financial management and retreat rather than any sacrifice of near-term results for long-term capability building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Oriental Culture's sole remaining value proposition is the extreme discount between its $2.97M market cap and $35.34M in cash (negative enterprise value of -$32.37M), creating a theoretical deep-value opportunity if the cash were returned to shareholders or the company were acquired [1]. The debt-free balance sheet and $0.15 special dividend (9.80% yield) demonstrate some willingness to return capital. The charges against key shareholders Gao and Kong were dropped in May 2025 due to insufficient evidence, resolving the legal overhang that had frozen bank accounts and damaged customer confidence [3]. The Inspire Impact Score of 41 (ALIGNED) provides a modest positive signal for faith-based consideration.</w:t>
      </w:r>
    </w:p>
    <w:p>
      <w:pPr>
        <w:spacing w:after="120"/>
      </w:pPr>
      <w:r>
        <w:rPr>
          <w:rFonts w:ascii="Calibri" w:hAnsi="Calibri"/>
          <w:b w:val="0"/>
          <w:color w:val="3A4A28"/>
          <w:sz w:val="20"/>
        </w:rPr>
        <w:t>The bear case is overwhelming. The company has effectively abandoned its core business — selling its art exchange subsidiary for just HK$1M in July 2026 — and the replacement 'platform support services' business has no named customers, no products, no revenue visibility, and no management expertise demonstrated in this area [2]. Revenue of $1.89M generated a -$3.86M net loss (-204% profit margin) from a 13-person team whose headcount has been cut 60%. The $35.34M cash balance, while impressive relative to the market cap, is controlled by insiders holding 12 million super-voting preferred shares with 15 votes each, giving minority shareholders no effective say in how capital is deployed [3]. Average daily dollar volume of ~$109,669 is 9x below the IOWN $1M liquidity floor, making the stock effectively untradeable. The 52-week stock decline of -99.94% and 6.77% short interest reflect near-total market consensus that the equity is worthless despite the cash on the balance sheet.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 strategic transaction (acquisition, merger, or liquidation) that could realize the deep discount between the $2.97M market cap and $35.34M cash balance — the negative enterprise value of -$32.37M represents 12x the market cap in unlocked value if cash were returned [1]</w:t>
      </w:r>
    </w:p>
    <w:p>
      <w:pPr>
        <w:spacing w:before="40" w:after="40"/>
        <w:ind w:left="283"/>
      </w:pPr>
      <w:r>
        <w:rPr>
          <w:rFonts w:ascii="Calibri" w:hAnsi="Calibri"/>
          <w:b/>
          <w:color w:val="4A6B25"/>
          <w:sz w:val="20"/>
        </w:rPr>
        <w:t xml:space="preserve">2. </w:t>
      </w:r>
      <w:r>
        <w:rPr>
          <w:rFonts w:ascii="Calibri" w:hAnsi="Calibri"/>
          <w:b w:val="0"/>
          <w:color w:val="3A4A28"/>
          <w:sz w:val="20"/>
        </w:rPr>
        <w:t>Additional special dividends or a material capital return program from the $35.34M cash balance, building on the $0.15/share precedent from January 2026</w:t>
      </w:r>
    </w:p>
    <w:p>
      <w:pPr>
        <w:spacing w:before="40" w:after="40"/>
        <w:ind w:left="283"/>
      </w:pPr>
      <w:r>
        <w:rPr>
          <w:rFonts w:ascii="Calibri" w:hAnsi="Calibri"/>
          <w:b/>
          <w:color w:val="4A6B25"/>
          <w:sz w:val="20"/>
        </w:rPr>
        <w:t xml:space="preserve">3. </w:t>
      </w:r>
      <w:r>
        <w:rPr>
          <w:rFonts w:ascii="Calibri" w:hAnsi="Calibri"/>
          <w:b w:val="0"/>
          <w:color w:val="3A4A28"/>
          <w:sz w:val="20"/>
        </w:rPr>
        <w:t>Successful execution of the platform support services pivot with identifiable customers and revenue, demonstrating the company has a viable post-art-exchange business model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Governance concentration via 12 million super-voting preferred shares (15 votes each) limits minority shareholders' ability to influence how the $35.34M cash balance is deployed, creating a risk that cash is consumed by operating losses, related-party transactions, or management entrenchment rather than returned to shareholders [3]</w:t>
      </w:r>
    </w:p>
    <w:p>
      <w:pPr>
        <w:spacing w:before="40" w:after="40"/>
        <w:ind w:left="283"/>
      </w:pPr>
      <w:r>
        <w:rPr>
          <w:rFonts w:ascii="Calibri" w:hAnsi="Calibri"/>
          <w:b/>
          <w:color w:val="4A6B25"/>
          <w:sz w:val="20"/>
        </w:rPr>
        <w:t xml:space="preserve">2. </w:t>
      </w:r>
      <w:r>
        <w:rPr>
          <w:rFonts w:ascii="Calibri" w:hAnsi="Calibri"/>
          <w:b w:val="0"/>
          <w:color w:val="3A4A28"/>
          <w:sz w:val="20"/>
        </w:rPr>
        <w:t>Extreme illiquidity — average daily dollar volume of ~$109,669 is 9x below the IOWN $1M threshold, making the stock untradeable at any institutional scale and triggering the Infrastructure floor [1]</w:t>
      </w:r>
    </w:p>
    <w:p>
      <w:pPr>
        <w:spacing w:before="40" w:after="40"/>
        <w:ind w:left="283"/>
      </w:pPr>
      <w:r>
        <w:rPr>
          <w:rFonts w:ascii="Calibri" w:hAnsi="Calibri"/>
          <w:b/>
          <w:color w:val="4A6B25"/>
          <w:sz w:val="20"/>
        </w:rPr>
        <w:t xml:space="preserve">3. </w:t>
      </w:r>
      <w:r>
        <w:rPr>
          <w:rFonts w:ascii="Calibri" w:hAnsi="Calibri"/>
          <w:b w:val="0"/>
          <w:color w:val="3A4A28"/>
          <w:sz w:val="20"/>
        </w:rPr>
        <w:t>No viable operating business — the core art exchange was sold for HK$1M, the replacement platform support pivot has no substance, and the 13-person team lacks the scale to build a meaningful new business while consuming ~$3.86M in annual losses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(2/9): Oriental Culture's original art/collectibles e-commerce platform faced structural AI disruption from AI-powered authentication, image recognition, and algorithmic pricing tools that larger platforms (Alibaba, Taobao) deploy at far greater scale — and the company has now exited this business entirely by selling its subsidiary [2]. The newly announced pivot to 'platform support services for third-party trading platforms' is undefined, with no products, no customers, and no AI capabilities from a 13-person team. The company has no visible capacity to build defensive AI moats in any business line. AI Opportunity (0/1): No evidence of any AI-powered product or AI-driven revenue. The company generates zero revenue from AI-related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 — OCG Financial Metrics, Statistics: Market Cap $2.97M, Stock Price $1.53, Revenue $1.89M, Net Loss -$3.86M, ROE -6.74%, Cash $35.34M, Avg Volume 71,679, Dividend $0.15 (9.80%),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TipRanks / StockTitan — 'Oriental Culture Holding Sells Artworks Exchange Subsidiary as It Pivots to Platform Support Services,' July 2026; H1 2025 Results (Revenue ~$0.1M, -68.4% YoY); Active Trader Decline (15,124 to 4,504)</w:t>
      </w:r>
    </w:p>
    <w:p>
      <w:pPr>
        <w:spacing w:before="20" w:after="20"/>
        <w:ind w:left="170"/>
      </w:pPr>
      <w:r>
        <w:rPr>
          <w:rFonts w:ascii="Calibri" w:hAnsi="Calibri"/>
          <w:b/>
          <w:color w:val="4A6B25"/>
          <w:sz w:val="15"/>
        </w:rPr>
        <w:t xml:space="preserve">3. </w:t>
      </w:r>
      <w:r>
        <w:rPr>
          <w:rFonts w:ascii="Calibri" w:hAnsi="Calibri"/>
          <w:b w:val="0"/>
          <w:color w:val="3A4A28"/>
          <w:sz w:val="17"/>
        </w:rPr>
        <w:t>SEC Form 20-F FY2025 / Globe and Mail — Charges Dropped Against Shareholders Gao and Kong (May 2025, Insufficient Evidence); 12M Super-Voting Preferred Shares Issuance; 1-for-220 Reverse Stock Split; Special Cash Dividend Announcement</w:t>
      </w:r>
    </w:p>
    <w:p>
      <w:pPr>
        <w:spacing w:before="20" w:after="20"/>
        <w:ind w:left="170"/>
      </w:pPr>
      <w:r>
        <w:rPr>
          <w:rFonts w:ascii="Calibri" w:hAnsi="Calibri"/>
          <w:b/>
          <w:color w:val="4A6B25"/>
          <w:sz w:val="15"/>
        </w:rPr>
        <w:t xml:space="preserve">4. </w:t>
      </w:r>
      <w:r>
        <w:rPr>
          <w:rFonts w:ascii="Calibri" w:hAnsi="Calibri"/>
          <w:b w:val="0"/>
          <w:color w:val="3A4A28"/>
          <w:sz w:val="17"/>
        </w:rPr>
        <w:t>Simply Wall St / Yahoo Finance — OCG Company Profile, Financial History, Ownership Structure,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