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OCUL</w:t>
      </w:r>
      <w:r>
        <w:rPr>
          <w:rFonts w:ascii="Calibri" w:hAnsi="Calibri"/>
          <w:b/>
          <w:color w:val="1A2010"/>
          <w:sz w:val="40"/>
        </w:rPr>
        <w:t xml:space="preserve">  Ocular Therapeutix, Inc.</w:t>
      </w:r>
    </w:p>
    <w:p>
      <w:pPr>
        <w:spacing w:after="120"/>
      </w:pPr>
      <w:r>
        <w:rPr>
          <w:rFonts w:ascii="Calibri" w:hAnsi="Calibri"/>
          <w:b/>
          <w:color w:val="6E8450"/>
          <w:sz w:val="18"/>
        </w:rPr>
        <w:t>GROWTH SLEEVE · 2026-10-16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NMS · United States</w:t>
      </w:r>
    </w:p>
    <w:p>
      <w:pPr>
        <w:spacing w:after="80"/>
      </w:pPr>
      <w:r>
        <w:rPr>
          <w:rFonts w:ascii="Calibri" w:hAnsi="Calibri"/>
          <w:b w:val="0"/>
          <w:color w:val="3A4A28"/>
          <w:sz w:val="20"/>
        </w:rPr>
        <w:t>Ocular Therapeutix is a biopharmaceutical company developing sustained-release therapies for eye diseases using its proprietary biodegradable hydrogel technology platform. The commercial product DEXTENZA treats post-surgical ocular pain and inflammation, generating $13.5M in Q2 2026 revenue (+0.7% YoY). Lead clinical candidate AXPAXLI, an intravitreal hydrogel implant for wet AMD, reported positive Phase 3 SOL-1 topline results in February 2026 with NDA submission planned for Q4 2026. Cash of $598.6M funds operations into 2028 [1][2].</w:t>
      </w:r>
    </w:p>
    <w:p>
      <w:r>
        <w:rPr>
          <w:rFonts w:ascii="Calibri" w:hAnsi="Calibri"/>
          <w:b/>
          <w:color w:val="6E8450"/>
          <w:sz w:val="18"/>
        </w:rPr>
        <w:t>280 Employees · https://www.ocutx.com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DEXTENZA was the first FDA-approved intracanalicular insert for ocular pain/inflammation, establishing a novel drug delivery category, and AXPAXLI's SOL-1 Phase 3 trial reported positive topline results in February 2026 showing patients maintaining vision for 52 weeks — a significant clinical milestone that could transform wet AMD treatment by reducing injection burden [2]. These represent meaningful scientific breakthroughs, though commercial execution on DEXTENZA has been modest at $50M/year. AI Deployment (0/2): No AI-powered products or measurable AI-driven cost savings evident in operations or pipeline development. Market Share (0/2): DEXTENZA holds a niche position in post-surgical ocular pain with revenue plateaued at approximately $50M/year, representing modest market penetration in a category dominated by generic steroid drops [1]. Product Pipeline (2/2): AXPAXLI NDA submission is planned for Q4 2026 for wet AMD; SOL-R repeat dosing trial is fully enrolled (640 subjects) with topline data expected Q1 2028; HELIOS-3 trial for diabetic retinopathy is progressing; and OTX-TIC glaucoma program is under evaluation — providing multi-year pipeline visibility across ophthalmology indications [1][2]. R&amp;D Intensity (1/1): R&amp;D spending of $54.1M in Q2 2026 represents approximately 400% of quarterly revenue, reflecting deep investment in clinical programs well above the biotech industry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Ocular Therapeutix's purpose centers on developing novel therapies for diseases of the eye through sustained-release drug delivery technology. This is clear, identifies the beneficiary (patients with eye disease), and differentiates through the specific hydrogel technology platform, but it does not articulate a transformative vision beyond what any ophthalmic biotech might claim [2]. Community Impact (0/2): No evidence of specific charitable programs, foundation activities, or community investments with dollar amounts. Employee Retention (0/2): Management tenure averages only 1.3 years per Simply Wall St data, and CEO Pravin Dugel was appointed in 2024 after investor frustration with predecessor Antony Mattessich's performance [3]. Glassdoor reviews (3.8/5, 50 reviews) describe an 'extremely clique-y culture' alongside positive notes about flexibility [3]. The short tenures and leadership turnover do not evidence strong retention. Insider Buying (0/2): No data on meaningful net insider buying by executives in the last 12 months identified through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PEG excluded as null due to negative earnings. D/E of 15.3% is far below the 70% target (score 1.0), reflecting the company's conservative balance sheet with $598.6M cash and minimal debt [1]. Revenue growth 5-year CAGR of approximately 10% from DEXTENZA's commercial ramp since 2019 meets the target (score 1.0, 2x weight), though current YoY growth has stalled at 0.1% (score 0.67). Forward P/E of -5.0 reflects expected continued losses as R&amp;D spending on AXPAXLI Phase 3 trials dwarfs DEXTENZA revenue (formula mechanically scores 1.0 on the lower-is-better metric). ROE of -73% is well below the 0% floor (score 0.0, 2x weight), and profit margin of approximately 0% sits at the floor (score 0.0) — both reflecting the pre-profit biotech stage [1]. Daily dollar volume of $21.4M provides adequate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Ocular Therapeutix shows some infinite game characteristics through its willingness to invest heavily in long-term R&amp;D despite short-term losses, and its strategic pivot from DEXTENZA to AXPAXLI as the growth driver. However, the company's leadership instability (CEO change in 2024 after investor frustration), short management tenure averaging 1.3 years, and lack of a deeply articulated Just Cause beyond standard biotech drug development prevent it from scoring higher. The competitive positioning against Regeneron and Roche shows constructive rivalry, but organizational trust is underdeveloped.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Ocular Therapeutix has a purpose statement centered on developing novel sustained-release therapies for eye disease, which connects the company's work to improving patient outcomes. However, this reads more as a business strategy than a Just Cause — it doesn't describe a transformative future state that inspires sacrifice. Many ophthalmic companies articulate similar goals. The purpose has not been tested through decades of consistent execution or crisis [2].</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Leadership instability is the defining concern. CEO Pravin Dugel was appointed in 2024 after investor frustration with predecessor Mattessich, and average management tenure is just 1.3 years [3]. Glassdoor reviews (3.8/5) describe an 'extremely clique-y culture,' though the 86% CEO approval rate for Dugel is encouraging. The small sample size (50 reviews) and recent leadership turnover suggest an organization still finding its footing, not one with established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Ocular Therapeutix positions AXPAXLI against Regeneron's Eylea and Roche's Vabysmo by differentiating on sustained-release drug delivery that could reduce injection frequency from monthly to biannually [2]. The company's competitive language focuses on improving patient outcomes through technological differentiation rather than destroying competitors — acknowledging that existing anti-VEGF therapies work well but that patients deserve less burdensome treatment options.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Ocular Therapeutix has strategically pivoted from relying on DEXTENZA (a modest $50M/year commercial product) to making AXPAXLI the company-defining program — investing $54M/quarter in R&amp;D to pursue the much larger wet AMD market ($12B+ globally) [1][2]. This represents meaningful strategic evolution, entering adjacent and much larger ophthalmology markets. However, the company hasn't faced a true existential test of abandoning a profitable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company is investing $54.1M per quarter in R&amp;D while generating only $13.5M in quarterly revenue — a deliberate choice to bet the company on AXPAXLI and the pipeline [1]. This represents genuine courage to prioritize long-term capability over short-term financial performance, though the decision is partly forced by the limited commercial ceiling of DEXTENZA alone.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OCUL at $7.38 with a $1.6B market cap is a clinical-stage ophthalmology bet trading at a significant discount to its peak, anchored by the AXPAXLI opportunity in the $12B+ wet AMD market. The SOL-1 Phase 3 trial demonstrated patients maintaining vision for 52 weeks with a sustained-release intravitreal hydrogel, and NDA submission is planned for Q4 2026, creating a clear regulatory catalyst [2]. The company holds $598.6M in cash (sufficient through 2028), the SOL-R repeat dosing trial is fully enrolled with topline data in Q1 2028, and the HELIOS-3 diabetic retinopathy trial extends the platform into another large indication [1]. If approved, AXPAXLI could capture meaningful share from the anti-VEGF market by dramatically reducing injection burden for wet AMD patients.</w:t>
      </w:r>
    </w:p>
    <w:p>
      <w:pPr>
        <w:spacing w:after="120"/>
      </w:pPr>
      <w:r>
        <w:rPr>
          <w:rFonts w:ascii="Calibri" w:hAnsi="Calibri"/>
          <w:b w:val="0"/>
          <w:color w:val="3A4A28"/>
          <w:sz w:val="20"/>
        </w:rPr>
        <w:t>The bear case is binary clinical and commercial risk. DEXTENZA revenue has plateaued at approximately $50M/year with essentially zero growth (0.1% YoY), and the company is burning cash at approximately $65M/quarter as R&amp;D accelerates for Phase 3 trials [1]. The net loss widened to $78.8M in Q2 2026 from $67.8M a year earlier, and Q1 2026 recorded a record $88.6M loss, raising questions about the pace of cash consumption even with $598.6M on hand. AXPAXLI's commercial success depends on demonstrating non-inferiority to established anti-VEGF therapies with proven safety profiles, and the SOL-R repeat dosing data (Q1 2028) will be critical for regulatory and commercial viability. Management instability — CEO change in 2024 after investor frustration, average tenure of 1.3 years — adds execution risk at a pivotal commercialization stage [3]. The stock has declined 28% year-to-date, reflecting market skepticism about the path from promising Phase 3 data to a profitable commercial franchise.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AXPAXLI NDA submission in Q4 2026 for wet AMD represents a major regulatory catalyst — FDA acceptance and potential approval in 2027 could unlock access to the $12B+ anti-VEGF market with a differentiated sustained-release delivery mechanism [2]</w:t>
      </w:r>
    </w:p>
    <w:p>
      <w:pPr>
        <w:spacing w:before="40" w:after="40"/>
        <w:ind w:left="283"/>
      </w:pPr>
      <w:r>
        <w:rPr>
          <w:rFonts w:ascii="Calibri" w:hAnsi="Calibri"/>
          <w:b/>
          <w:color w:val="4A6B25"/>
          <w:sz w:val="20"/>
        </w:rPr>
        <w:t xml:space="preserve">2. </w:t>
      </w:r>
      <w:r>
        <w:rPr>
          <w:rFonts w:ascii="Calibri" w:hAnsi="Calibri"/>
          <w:b w:val="0"/>
          <w:color w:val="3A4A28"/>
          <w:sz w:val="20"/>
        </w:rPr>
        <w:t>SOL-R repeat dosing trial topline data expected Q1 2028 will demonstrate the durability of AXPAXLI's efficacy over multiple treatment cycles, which is essential for physician adoption and payer coverage in the chronic wet AMD treatment paradigm [1]</w:t>
      </w:r>
    </w:p>
    <w:p>
      <w:pPr>
        <w:spacing w:before="40" w:after="40"/>
        <w:ind w:left="283"/>
      </w:pPr>
      <w:r>
        <w:rPr>
          <w:rFonts w:ascii="Calibri" w:hAnsi="Calibri"/>
          <w:b/>
          <w:color w:val="4A6B25"/>
          <w:sz w:val="20"/>
        </w:rPr>
        <w:t xml:space="preserve">3. </w:t>
      </w:r>
      <w:r>
        <w:rPr>
          <w:rFonts w:ascii="Calibri" w:hAnsi="Calibri"/>
          <w:b w:val="0"/>
          <w:color w:val="3A4A28"/>
          <w:sz w:val="20"/>
        </w:rPr>
        <w:t>Cash position of $598.6M provides runway through 2028, eliminating near-term dilution risk and allowing the company to reach the key NDA and SOL-R data milestones without a capital raise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clinical risk — AXPAXLI's SOL-R repeat dosing data (Q1 2028) could reveal safety or efficacy issues with chronic administration that were not apparent in the single-dose SOL-1 trial, potentially derailing the entire commercial thesis [2]</w:t>
      </w:r>
    </w:p>
    <w:p>
      <w:pPr>
        <w:spacing w:before="40" w:after="40"/>
        <w:ind w:left="283"/>
      </w:pPr>
      <w:r>
        <w:rPr>
          <w:rFonts w:ascii="Calibri" w:hAnsi="Calibri"/>
          <w:b/>
          <w:color w:val="4A6B25"/>
          <w:sz w:val="20"/>
        </w:rPr>
        <w:t xml:space="preserve">2. </w:t>
      </w:r>
      <w:r>
        <w:rPr>
          <w:rFonts w:ascii="Calibri" w:hAnsi="Calibri"/>
          <w:b w:val="0"/>
          <w:color w:val="3A4A28"/>
          <w:sz w:val="20"/>
        </w:rPr>
        <w:t>Accelerating cash burn of approximately $65M/quarter could exhaust the $598.6M cash position by mid-2028 if additional trials or a commercial launch delay extend the pre-profitability period, forcing dilutive financing at depressed prices [1]</w:t>
      </w:r>
    </w:p>
    <w:p>
      <w:pPr>
        <w:spacing w:before="40" w:after="40"/>
        <w:ind w:left="283"/>
      </w:pPr>
      <w:r>
        <w:rPr>
          <w:rFonts w:ascii="Calibri" w:hAnsi="Calibri"/>
          <w:b/>
          <w:color w:val="4A6B25"/>
          <w:sz w:val="20"/>
        </w:rPr>
        <w:t xml:space="preserve">3. </w:t>
      </w:r>
      <w:r>
        <w:rPr>
          <w:rFonts w:ascii="Calibri" w:hAnsi="Calibri"/>
          <w:b w:val="0"/>
          <w:color w:val="3A4A28"/>
          <w:sz w:val="20"/>
        </w:rPr>
        <w:t>Management instability with average tenure of 1.3 years and a CEO change in 2024 creates execution risk during the critical NDA preparation and pre-launch commercialization phase when experienced leadership continuity matters most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Ocular Therapeutix develops physical biodegradable hydrogel drug delivery implants for the eye — a business structurally immune to AI disruption. Drug development requires FDA-regulated clinical trials, manufacturing of physical implants, and surgical/clinical administration that AI cannot substitute [2]. The proprietary hydrogel platform represents deep materials science IP developed over years of R&amp;D. AI cannot replace the need for physical drug products in ophthalmology, and regulatory requirements for biologics/devices create additional protection. AI may enhance clinical trial design and drug discovery efficiency, but the core business of developing and commercializing physical therapeutic products faces zero substitution risk. AI Opportunity (0/1): No AI-related revenue; the company's value lies in its proprietary hydrogel technology and clinical pipeline, not AI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Ocular Therapeutix Q2 2026 Earnings — $13.5M Revenue (+0.7% YoY), Net Loss $78.8M, R&amp;D $54.1M, Cash $598.6M — Quartr, VisionMonday, Nasdaq, August 2026</w:t>
      </w:r>
    </w:p>
    <w:p>
      <w:pPr>
        <w:spacing w:before="20" w:after="20"/>
        <w:ind w:left="170"/>
      </w:pPr>
      <w:r>
        <w:rPr>
          <w:rFonts w:ascii="Calibri" w:hAnsi="Calibri"/>
          <w:b/>
          <w:color w:val="4A6B25"/>
          <w:sz w:val="15"/>
        </w:rPr>
        <w:t xml:space="preserve">2. </w:t>
      </w:r>
      <w:r>
        <w:rPr>
          <w:rFonts w:ascii="Calibri" w:hAnsi="Calibri"/>
          <w:b w:val="0"/>
          <w:color w:val="3A4A28"/>
          <w:sz w:val="17"/>
        </w:rPr>
        <w:t>Ocular Therapeutix AXPAXLI Clinical Program — SOL-1 Phase 3 Positive Topline Results, NDA Q4 2026, SOL-R Fully Enrolled, HELIOS-3 Progressing — Company Press Releases, February-August 2026</w:t>
      </w:r>
    </w:p>
    <w:p>
      <w:pPr>
        <w:spacing w:before="20" w:after="20"/>
        <w:ind w:left="170"/>
      </w:pPr>
      <w:r>
        <w:rPr>
          <w:rFonts w:ascii="Calibri" w:hAnsi="Calibri"/>
          <w:b/>
          <w:color w:val="4A6B25"/>
          <w:sz w:val="15"/>
        </w:rPr>
        <w:t xml:space="preserve">3. </w:t>
      </w:r>
      <w:r>
        <w:rPr>
          <w:rFonts w:ascii="Calibri" w:hAnsi="Calibri"/>
          <w:b w:val="0"/>
          <w:color w:val="3A4A28"/>
          <w:sz w:val="17"/>
        </w:rPr>
        <w:t>Ocular Therapeutix Leadership and Culture — CEO Pravin Dugel Appointed 2024, Glassdoor 3.8/5 (86% CEO Approval), Management Tenure 1.3yr — STAT News, Glassdoor, Simply Wall St, 2024-2026</w:t>
      </w:r>
    </w:p>
    <w:p>
      <w:pPr>
        <w:spacing w:before="20" w:after="20"/>
        <w:ind w:left="170"/>
      </w:pPr>
      <w:r>
        <w:rPr>
          <w:rFonts w:ascii="Calibri" w:hAnsi="Calibri"/>
          <w:b/>
          <w:color w:val="4A6B25"/>
          <w:sz w:val="15"/>
        </w:rPr>
        <w:t xml:space="preserve">4. </w:t>
      </w:r>
      <w:r>
        <w:rPr>
          <w:rFonts w:ascii="Calibri" w:hAnsi="Calibri"/>
          <w:b w:val="0"/>
          <w:color w:val="3A4A28"/>
          <w:sz w:val="17"/>
        </w:rPr>
        <w:t>Ocular Therapeutix ESG Ratings — Sustainalytics Medium Risk, KnowESG Score 29, ESG Risk Score 35.04 — Sustainalytics, KnowESG, Saxo,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