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OC</w:t>
      </w:r>
      <w:r>
        <w:rPr>
          <w:rFonts w:ascii="Calibri" w:hAnsi="Calibri"/>
          <w:b/>
          <w:color w:val="1A2010"/>
          <w:sz w:val="40"/>
        </w:rPr>
        <w:t xml:space="preserve">  Owens Corning</w:t>
      </w:r>
    </w:p>
    <w:p>
      <w:pPr>
        <w:spacing w:after="120"/>
      </w:pPr>
      <w:r>
        <w:rPr>
          <w:rFonts w:ascii="Calibri" w:hAnsi="Calibri"/>
          <w:b/>
          <w:color w:val="6E8450"/>
          <w:sz w:val="18"/>
        </w:rPr>
        <w:t>DIVIDEND SLEEVE · 2026-09-20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Owens Corning is a global building and construction materials leader operating through three segments: Roofing (asphalt shingles and roofing components), Insulation (thermal, acoustical, and specialty insulation including the iconic PINK FIBERGLAS brand), and Doors (residential interior and exterior doors via the 2024 Masonite acquisition). Completed divestiture of glass reinforcements business on April 30, 2026, finalizing transformation to a focused branded building products leader. Q2 2026 revenue from continuing operations was $2.8B (flat YoY) with 24% adjusted EBITDA margin. Long-term targets include mid-20% EBITDA margin and $5B cumulative FCF by 2028.</w:t>
      </w:r>
    </w:p>
    <w:p>
      <w:r>
        <w:rPr>
          <w:rFonts w:ascii="Calibri" w:hAnsi="Calibri"/>
          <w:b/>
          <w:color w:val="6E8450"/>
          <w:sz w:val="18"/>
        </w:rPr>
        <w:t>25,000 Employees · https://www.owenscorning.com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Owens Corning completed a transformative portfolio shift — divesting the glass reinforcements business in April 2026 while integrating the $3.9B Masonite door acquisition — repositioning as a focused branded building products leader across Roofing, Insulation, and Doors [1][2]. Q2 2026 adjusted EBITDA margin of 24% demonstrates successful operational execution post-transformation. AI Deployment (1/2): CIO Annie Baymiller was promoted to EVP to drive deployment of generative AI and agentic AI in manufacturing processes, with machine learning used for anomaly detection and process optimization across production facilities [3]. Chief Innovation Officer José Méndez-Andino was appointed to advance product leadership. However, no quantified AI revenue or savings have been disclosed. Market Share (2/2): Owens Corning is the #1 or #2 producer in both roofing and insulation in North America, with the iconic PINK FIBERGLAS brand providing durable brand recognition and pricing power [1][4]. The Masonite acquisition adds a leading position in residential doors. Product Pipeline (1/2): Masonite integration delivering $125M+ in cost synergies ahead of schedule with additional $75M in structural savings planned through network optimization [1]. 2025 Investor Day targets (mid-20% EBITDA margin, $5B cumulative FCF by 2028) provide long-term visibility. R&amp;D Intensity (0/1): Building materials companies typically invest 1-2% of revenue in R&amp;D, below the industrial average; while the CInO appointment signals commitment, no data shows above-average R&amp;D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Owens Corning's sustainability mission — reducing environmental impact while providing building materials that improve energy efficiency — is specific and thoughtful, backed by ambitious 2030 targets including recycling 1.4B pounds of glass annually, comprehensive supplier responsibility programs, and 13 consecutive years on the DJSI World Index [4]. CEO Brian Chambers positions sustainability as integral to competitive strategy. World's Most Ethical Companies by Ethisphere for 5 consecutive years validates execution. Community Impact (1/2): Named one of only three Construction and Building Materials honorees for World's Most Ethical Companies. Reduced recordable injuries 25% across legacy sites, achieved 11% YoY reduction in waste-to-landfill [4]. Published 16th annual Sustainability Report. However, specific charitable giving dollar amounts are not prominently disclosed. Employee Retention (1/2): Glassdoor 3.8/5 with 1,168 reviews — some describe leaders as 'very family-centric offering flexibility' and a 'fun and challenging culture,' while others cite leadership turnover, lack of long-term vision, and lack of transparency [3]. Average for a large industrial company undergoing portfolio transformation. Insider Buying (0/2): No meaningful open-market insider purchases by executives were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metrics. Forward P/E of 10.32x is extremely attractive for a market-leading building products franchise, scoring 1.0 and implying consensus forward EPS of ~$12 [5]. Revenue growth has improved from -10% in Q1 to flat in Q2, scoring 0.68. D/E of 150.33% reflects Masonite acquisition debt, scoring 0.65 — manageable with $5B cumulative FCF target by 2028 [1]. TTM ROE of -9.45% and profit margin of -6.81% remain temporarily distorted by Q1 2026 glass reinforcements divestiture charges, both scoring 0.0 — Q2 adjusted EBITDA margin of 24% confirms strong underlying profitability [2]. Forward payout ratio of ~26% ($3.16 dividend / ~$12 forward EPS) scores 1.0. Dividend metrics are exceptional: 13 consecutive years paid (scoring 1.0 at 2x weight), 6 consecutive years of growth (scoring 0.6), and ~20% 5yr dividend growth CAGR (scoring 1.0 at 2x weight) [5]. Weighted sum 8.34 / max 12.0 = infrastructure 7. Liquidity cleared at ~$134.9M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Owens Corning under CEO Brian Chambers demonstrates strong infinite game characteristics — a genuine sustainability mission with measurable 2030 targets backed by 13 consecutive years on the DJSI World Index, transformative existential flexibility in the Masonite acquisition and glass reinforcements divestiture, and consistent investment in long-term capabilities. The 88-year corporate history, World's Most Ethical Companies recognition (5 consecutive years), and deliberate Chief Innovation Officer appointment signal a company playing to keep playing. Q2 2026 adjusted EBITDA margin of 24% validates the portfolio transformation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Owens Corning's sustainability mission — reducing environmental impact while providing building materials that improve energy efficiency — is genuine and partially lived out through specific 2030 targets, 1.4B pounds of recycled glass annually, and 13 consecutive years on the DJSI World Index [4]. CEO Chambers has positioned sustainability as integral to competitive strategy, and the World's Most Ethical Companies recognition for 5 consecutive years validates execution. The mission is distinctive for a building materials company but the sustainability framing is relatively recent compared to the 88-year company history.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(3.8/5) describe a family-centric leadership culture with flexibility and advancement opportunities [3]. CEO Chambers has provided stable leadership since 2020. The 25% reduction in recordable injuries across legacy sites demonstrates tangible commitment to worker safety [4]. However, some reviews cite leadership turnover, lack of transparency, and inconsistent long-term vision, suggesting the trust environment varies across the 25,000-employee organization during portfolio transformation.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Owens Corning competes against GAF (roofing), CertainTeed/Saint-Gobain (insulation), and Therma-Tru/Pella (doors), and management's language focuses on product innovation, brand strength, and customer value creation rather than competitor destruction [1]. The CInO appointment to advance product leadership and the sustainability differentiation strategy reflect an improvement-oriented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$3.9B Masonite acquisition in 2024 combined with the April 2026 divestiture of glass reinforcements fundamentally transformed Owens Corning from a two-segment composites/building products company into a three-segment branded building products platform [1][2]. This was a bold strategic reinvention — the company abandoned a legacy business line (glass reinforcements) that had been part of its identity for decades, entering the entirely new doors category. The $125M+ synergy achievement ahead of schedule validates the strategic conviction, and Q2 2026 EBITDA margin of 24% demonstrates successful execution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$3.9B Masonite acquisition was a courageous capital allocation decision that added significant leverage (D/E 150%) during uncertain housing market conditions [1]. Raising the dividend 14.5% (from $0.69 to $0.79/quarter) despite GAAP losses from divestiture charges demonstrated confidence in underlying earnings power. The 2025 Investor Day commitment to mid-20% EBITDA margins and $5B cumulative FCF by 2028 sets ambitious targets. However, these decisions were made from a position of operational strength as a market leader.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Owens Corning is a market-leading building products franchise that has completed a transformative portfolio shift to branded building products (Roofing, Insulation, Doors), with Q2 2026 revenue from continuing operations of $2.8B and 24% adjusted EBITDA margin demonstrating successful execution [2]. The stock has declined to $123.90, creating a compelling forward P/E of 10.32x — a significant discount to both historical averages and the broader industrials sector — with consensus implying ~$12 forward EPS [5]. The dividend has compounded at ~20% CAGR over 5 years with a conservative 26% forward payout ratio and 2.55% current yield. Masonite integration is delivering $125M+ synergies ahead of schedule with an additional $75M in structural savings planned [1]. OC's #1-2 market positions in roofing and insulation, the iconic PINK FIBERGLAS brand, and 13 consecutive years on the DJSI World Index validate a durable competitive franchise.</w:t>
      </w:r>
    </w:p>
    <w:p>
      <w:pPr>
        <w:spacing w:after="120"/>
      </w:pPr>
      <w:r>
        <w:rPr>
          <w:rFonts w:ascii="Calibri" w:hAnsi="Calibri"/>
          <w:b w:val="0"/>
          <w:color w:val="3A4A28"/>
          <w:sz w:val="20"/>
        </w:rPr>
        <w:t>The bear case centers on cyclical housing exposure and GAAP optics. The stock's 12.5% decline to $123.90 from $141.63 reflects weak housing demand — Q1 2026 revenue from continuing operations was down 10% YoY due to subdued repair/remodel activity and a less active storm season, though Q2 showed stabilization at flat growth [1][2]. D/E of 150.33% from Masonite acquisition debt creates elevated financial risk during a housing downturn, and TTM ROE of -9.45% and profit margin of -6.81% — distorted by glass reinforcements divestiture charges — will persist in trailing metrics for several quarters, potentially screening poorly for quantitative investors [5]. Prolonged elevated mortgage rates could suppress both new construction and renovation activity across all three segments. The 5yr revenue CAGR of 1.2% (net of acquisitions and divestitures) raises questions about organic growth potential absent a housing recovery. The Inspire Impact Score of -49 (MISALIGNED) may limit allocation for faith-based investors despite industry-leading ESG practices (MSCI AA, Sustainalytics 15.3 low risk, World's Most Ethical Companies 5x)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Masonite integration delivering $125M+ cost synergies ahead of schedule with additional $75M structural savings planned, driving Q2 2026 adjusted EBITDA margin to 24% — validating the $5B cumulative FCF by 2028 target [1][2]</w:t>
      </w:r>
    </w:p>
    <w:p>
      <w:pPr>
        <w:spacing w:before="40" w:after="40"/>
        <w:ind w:left="283"/>
      </w:pPr>
      <w:r>
        <w:rPr>
          <w:rFonts w:ascii="Calibri" w:hAnsi="Calibri"/>
          <w:b/>
          <w:color w:val="4A6B25"/>
          <w:sz w:val="20"/>
        </w:rPr>
        <w:t xml:space="preserve">2. </w:t>
      </w:r>
      <w:r>
        <w:rPr>
          <w:rFonts w:ascii="Calibri" w:hAnsi="Calibri"/>
          <w:b w:val="0"/>
          <w:color w:val="3A4A28"/>
          <w:sz w:val="20"/>
        </w:rPr>
        <w:t>Forward P/E compressed to 10.32x from 14.1x due to housing cycle weakness, creating a deep-value entry point for a franchise with #1-2 market positions in roofing and insulation and ~20% 5yr dividend growth CAGR [5]</w:t>
      </w:r>
    </w:p>
    <w:p>
      <w:pPr>
        <w:spacing w:before="40" w:after="40"/>
        <w:ind w:left="283"/>
      </w:pPr>
      <w:r>
        <w:rPr>
          <w:rFonts w:ascii="Calibri" w:hAnsi="Calibri"/>
          <w:b/>
          <w:color w:val="4A6B25"/>
          <w:sz w:val="20"/>
        </w:rPr>
        <w:t xml:space="preserve">3. </w:t>
      </w:r>
      <w:r>
        <w:rPr>
          <w:rFonts w:ascii="Calibri" w:hAnsi="Calibri"/>
          <w:b w:val="0"/>
          <w:color w:val="3A4A28"/>
          <w:sz w:val="20"/>
        </w:rPr>
        <w:t>Housing cycle recovery — pent-up demand from years of underbuilding (1.5M+ unit deficit per NAHB estimates) could drive significant volume growth across Roofing, Insulation, and Doors as mortgage rates normalize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high mortgage rates suppressing housing starts and renovation activity — Q1 2026 revenue from continuing operations was down 10% YoY, and the 12.5% stock price decline suggests the market prices continued near-term weakness [1][5]</w:t>
      </w:r>
    </w:p>
    <w:p>
      <w:pPr>
        <w:spacing w:before="40" w:after="40"/>
        <w:ind w:left="283"/>
      </w:pPr>
      <w:r>
        <w:rPr>
          <w:rFonts w:ascii="Calibri" w:hAnsi="Calibri"/>
          <w:b/>
          <w:color w:val="4A6B25"/>
          <w:sz w:val="20"/>
        </w:rPr>
        <w:t xml:space="preserve">2. </w:t>
      </w:r>
      <w:r>
        <w:rPr>
          <w:rFonts w:ascii="Calibri" w:hAnsi="Calibri"/>
          <w:b w:val="0"/>
          <w:color w:val="3A4A28"/>
          <w:sz w:val="20"/>
        </w:rPr>
        <w:t>D/E of 150.33% from Masonite acquisition creates elevated financial risk; servicing this debt during a housing downturn could pressure the dividend growth trajectory or force asset sales [5]</w:t>
      </w:r>
    </w:p>
    <w:p>
      <w:pPr>
        <w:spacing w:before="40" w:after="40"/>
        <w:ind w:left="283"/>
      </w:pPr>
      <w:r>
        <w:rPr>
          <w:rFonts w:ascii="Calibri" w:hAnsi="Calibri"/>
          <w:b/>
          <w:color w:val="4A6B25"/>
          <w:sz w:val="20"/>
        </w:rPr>
        <w:t xml:space="preserve">3. </w:t>
      </w:r>
      <w:r>
        <w:rPr>
          <w:rFonts w:ascii="Calibri" w:hAnsi="Calibri"/>
          <w:b w:val="0"/>
          <w:color w:val="3A4A28"/>
          <w:sz w:val="20"/>
        </w:rPr>
        <w:t>Portfolio transition complexity — integrating $3.9B Masonite while simultaneously divesting glass reinforcements creates execution risk, and some Glassdoor reviews cite leadership turnover and lack of cohesive long-term strategy during the transformation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Owens Corning manufactures physical building materials — roofing shingles, fiberglass insulation, and doors — that AI structurally cannot replace [1]. Construction materials require physical production in manufacturing plants, distribution through contractor and home center networks, and installation by skilled tradespeople. Competitive moats are built on manufacturing scale, the iconic PINK FIBERGLAS brand, and distribution relationships — none susceptible to AI substitution. AI-driven energy efficiency mandates and building code modernization could actually increase demand for OC's insulation products as housing stock upgrades accelerate. The company is actively deploying generative AI and agentic AI in manufacturing for anomaly detection and process optimization [3]. AI Opportunity (0/1): No evidence of AI-generated revenue. AI deployment is focused entirely on internal manufacturing efficiency and process optimization rather than revenue-generating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Owens Corning Q1 2026 Earnings Release — $2.3B Net Sales from Continuing Operations (-10% YoY), Adjusted EBITDA Margin 16%, Glass Reinforcements Divestiture Completed April 30, 2026, May 2026</w:t>
      </w:r>
    </w:p>
    <w:p>
      <w:pPr>
        <w:spacing w:before="20" w:after="20"/>
        <w:ind w:left="170"/>
      </w:pPr>
      <w:r>
        <w:rPr>
          <w:rFonts w:ascii="Calibri" w:hAnsi="Calibri"/>
          <w:b/>
          <w:color w:val="4A6B25"/>
          <w:sz w:val="15"/>
        </w:rPr>
        <w:t xml:space="preserve">2. </w:t>
      </w:r>
      <w:r>
        <w:rPr>
          <w:rFonts w:ascii="Calibri" w:hAnsi="Calibri"/>
          <w:b w:val="0"/>
          <w:color w:val="3A4A28"/>
          <w:sz w:val="17"/>
        </w:rPr>
        <w:t>Owens Corning Q2 2026 Earnings Release — $2.8B Revenue from Continuing Operations (Flat YoY), Adjusted EBITDA Margin 24%, Long-Term Targets Confirmed, August 2026</w:t>
      </w:r>
    </w:p>
    <w:p>
      <w:pPr>
        <w:spacing w:before="20" w:after="20"/>
        <w:ind w:left="170"/>
      </w:pPr>
      <w:r>
        <w:rPr>
          <w:rFonts w:ascii="Calibri" w:hAnsi="Calibri"/>
          <w:b/>
          <w:color w:val="4A6B25"/>
          <w:sz w:val="15"/>
        </w:rPr>
        <w:t xml:space="preserve">3. </w:t>
      </w:r>
      <w:r>
        <w:rPr>
          <w:rFonts w:ascii="Calibri" w:hAnsi="Calibri"/>
          <w:b w:val="0"/>
          <w:color w:val="3A4A28"/>
          <w:sz w:val="17"/>
        </w:rPr>
        <w:t>Owens Corning Leadership — CEO Brian Chambers, CIO Annie Baymiller (GenAI/Agentic AI Deployment), CInO José Méndez-Andino, Glassdoor 3.8/5 (1,168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Owens Corning Sustainability — DJSI World Index 13 Years, World's Most Ethical Companies 5x, MSCI AA, Sustainalytics 15.3 Low Risk, 25% Injury Reduction, 16th Sustainability Report,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OC Key Statistics: Price $123.90, Forward P/E 10.32, D/E 150.33%, ROE -9.45%, Margin -6.81%, Yield 2.55%, Avg Volume 1.09M,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