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OGN</w:t>
      </w:r>
      <w:r>
        <w:rPr>
          <w:rFonts w:ascii="Calibri" w:hAnsi="Calibri"/>
          <w:b/>
          <w:color w:val="1A2010"/>
          <w:sz w:val="40"/>
        </w:rPr>
        <w:t xml:space="preserve">  Organon &amp; Co.</w:t>
      </w:r>
    </w:p>
    <w:p>
      <w:pPr>
        <w:spacing w:after="120"/>
      </w:pPr>
      <w:r>
        <w:rPr>
          <w:rFonts w:ascii="Calibri" w:hAnsi="Calibri"/>
          <w:b/>
          <w:color w:val="6E8450"/>
          <w:sz w:val="18"/>
        </w:rPr>
        <w:t>GROWTH SLEEVE · 2026-10-20 · Inspire: -75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NYQ · United States</w:t>
      </w:r>
    </w:p>
    <w:p>
      <w:pPr>
        <w:spacing w:after="80"/>
      </w:pPr>
      <w:r>
        <w:rPr>
          <w:rFonts w:ascii="Calibri" w:hAnsi="Calibri"/>
          <w:b w:val="0"/>
          <w:color w:val="3A4A28"/>
          <w:sz w:val="20"/>
        </w:rPr>
        <w:t>Organon is a women's-health-focused pharmaceutical company spun off from Merck in 2021, combining legacy branded medicines (Nexplanon, Nasonex, Singulair) with a growing biosimilars portfolio (Hadlima, Bildyos, Bilprevda, Tofidence). TTM revenue of $6.1B with 3.4% profit margin and $8.6B debt. On April 26, 2026, Organon agreed to be acquired by Sun Pharmaceutical Industries in an $11.75B all-cash deal at $14.00 per share; the company withdrew forward guidance and ceased quarterly earnings calls pending an expected early 2027 close.</w:t>
      </w:r>
    </w:p>
    <w:p>
      <w:r>
        <w:rPr>
          <w:rFonts w:ascii="Calibri" w:hAnsi="Calibri"/>
          <w:b/>
          <w:color w:val="6E8450"/>
          <w:sz w:val="18"/>
        </w:rPr>
        <w:t>10,000 Employees · https://www.organon.com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Organon expanded its biosimilars portfolio through acquisition (Tofidence, Q2 2025) and FDA approvals (Bildyos, Bilprevda, Q3 2025) and divested non-core assets (Jada for $81M gain), but these are incremental portfolio management moves rather than a transformative pivot — the company's defining 2026 event is agreeing to be acquired by Sun Pharma, ending its independent existence [1]. AI Deployment (0/2): No evidence of AI-powered products, AI-driven cost savings, or any disclosed AI strategy; employee reviews describe the company's technology as 'vanilla' with 'no desire to innovate' [2]. Market Share (1/2): Biosimilars revenue grew 23% in Q1 2026 on strong Hadlima demand, and Nexplanon maintains leadership in long-acting reversible contraception, but overall company revenue declined 4% YoY to $1.46B and no explicit market share percentages were identified [1]. Product Pipeline (1/2): Recently approved and acquired biosimilars (Bildyos, Bilprevda, Tofidence) provide near-term revenue visibility, but the pending Sun Pharma merger means future independent pipeline development has effectively ceased and long-term product roadmap is uncertain [1]. R&amp;D Intensity (0/1): R&amp;D spending is modest relative to Big Pharma peers — operating margins of 20.7% suggest limited reinvestment compared to major innovator pharma companies spending 15-20% of revenue on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Organon's dedicated focus on women's health is genuinely distinctive among large pharmaceutical companies — identifying a specific underserved population — but the mission has not been tested through decades of consistent execution, as the company is only 5 years old since its 2021 Merck spinoff and is now being acquired [2][3]. Community Impact (0/2): No specific charitable programs with dedicated funding or dollar amounts were identified; the company's ESG reporting focuses on access to medicines and environmental stewardship but lacks quantified community investment [3]. Employee Retention (1/2): Glassdoor rating of 3.8-3.9 out of 5 with 69% CEO approval exceeds the pharma industry average, and Organon built a deliberate 'founders' culture identity since its 2021 launch, though no turnover or tenure statistics were found and mixed reviews cite concerns about 'toxic leadership culture' and 'mindless groupthink' [2]. Insider Buying (1/2): Executive Chair Carrie Smith Cox purchased 65,400 shares for approximately $502K in November 2025, meaningful insider conviction during a period of margin pressure, though no additional insider buying was identified in more recent periods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Revenue Growth 5yr CAGR and PEG unavailable, excluded. ROE of 24.0% exceeds the 15% target for a perfect 1.00 (2x weight), though heavily leveraged [1]. Forward P/E of 3.80x scores 1.00 (well under 20x target), reflecting merger-arbitrage pricing near the $14.00 Sun Pharma deal price rather than fundamental cheapness. Revenue growth YoY of -2.3% scores 0.59 (1x weight). Profit margin of 3.41% scores 0.17 against the 20% target (1x weight) [1]. D/E of 850.2% is far beyond the 300% floor, scoring 0.00 (1x weight) — Organon carries $8.55B debt inherited from the Merck spinoff, a structural weakness that forced the 2024 dividend cut from ~$0.28 to $0.02/quarter. Weighted sum: 3.76 / max 6.0 = Infrastructure 6. Daily dollar volume of ~$36.7M clears the $1M liquidity floor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Organon's women's-health mission was genuinely distinctive within pharma, but the company's five-year independent trajectory — from the 2021 Merck spinoff through heavy debt burden, dividend cut, and the April 2026 decision to sell to Sun Pharma — reads as managing a controlled exit rather than playing an infinite game. The cause was never tested through a crisis or leadership transition, and the pending acquisition means Organon's independent strategic identity will cease to exist before it could be validated across cycles.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women's health mission is genuine and differentiating, but it has not proven resilient beyond a single leadership cycle — the company is being absorbed into Sun Pharma's broader portfolio via the April 2026 acquisition agreement, and the question of whether the cause will survive independent of Organon itself remains unanswered [1][2]. The mission shaped some decisions (CEO Kevin Ali's public engagement with White House women's health initiative) but never faced the crucible of choosing mission over financial expediency.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3.8-3.9 out of 5 with 69% CEO approval exceeds the pharma industry average of 3.5, and Organon's 'founders' culture language since 2021 signals intentional culture-building [2]. However, employee reviews describe mixed experiences including 'toxic leadership culture' at some levels, and the pending Sun Pharma acquisition introduces fresh organizational uncertainty that likely undermines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competitive mindset framed around mutual improvement was found; Organon's competitive language focuses on women's health differentiation and biosimilar market entry rather than acknowledging rivals'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Organon adapted from its initial portfolio by actively building a biosimilar franchise (Hadlima, Bildyos, Bilprevda, Tofidence) to offset legacy brand erosion, and ultimately agreed to Sun Pharma's acquisition as a strategic resolution to unsustainable debt and margin pressure [1]. This represents real adaptation but culminates in the end of independent existence — a sale rather than a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2024 dividend cut from ~$0.28 to $0.02/quarter and the decision to sell the company to Sun Pharma at $14.00/share reflect debt-driven capital preservation and capitulation, not courageous long-term investment [1]. No evidence of leadership sacrificing near-term results for long-term independent capability building — the acquisition effectively concedes that the spinoff's debt structure was unsustainable.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Organon at $13.75 is now a merger-arbitrage situation: Sun Pharmaceutical agreed on April 26, 2026 to acquire the company for $14.00/share cash (~$11.75B enterprise value), representing a 1.8% spread to the deal price with an expected early 2027 close [1]. The underlying business retains pockets of strength — biosimilars revenue grew 23% in Q1 2026 on Hadlima demand, ROE of 24% reflects solid returns on thin equity, and $491M in free cash flow demonstrates operational cash generation despite the debt burden. The acquisition by Sun Pharma provides a definitive exit price for investors unwilling to wait for the company's organic turnaround through a $8.6B debt overhang.</w:t>
      </w:r>
    </w:p>
    <w:p>
      <w:pPr>
        <w:spacing w:after="120"/>
      </w:pPr>
      <w:r>
        <w:rPr>
          <w:rFonts w:ascii="Calibri" w:hAnsi="Calibri"/>
          <w:b w:val="0"/>
          <w:color w:val="3A4A28"/>
          <w:sz w:val="20"/>
        </w:rPr>
        <w:t>The bear case centers on deal-completion risk and severely impaired standalone fundamentals. Q1 2026 revenue fell 4% YoY to $1.46B with adjusted EPS of $0.71 (down from $1.02), and the company carries $8.55B debt against only $1.13B cash — a D/E ratio of 850% that forced the 2024 dividend cut to a token $0.02/quarter [1]. Profit margin of just 3.41% on $6.1B in TTM revenue reflects the squeeze between legacy brand erosion (loss of exclusivity, China volume-based procurement) and debt service costs. If the Sun Pharma deal fails on regulatory, antitrust, or financing grounds, the stock would likely reprice well below $14 toward analysts' standalone fair value estimates in the $10-12 range, given deteriorating fundamentals and no forward guidance [1][3]. Investors are effectively paying $13.75 to collect $14.00 in 3-5 months, accepting ~6% annualized return in exchange for binary deal-closure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Sun Pharma acquisition regulatory clearance and shareholder approval proceeding on schedule toward early 2027 close, realizing $14.00/share cash for current holders [1]</w:t>
      </w:r>
    </w:p>
    <w:p>
      <w:pPr>
        <w:spacing w:before="40" w:after="40"/>
        <w:ind w:left="283"/>
      </w:pPr>
      <w:r>
        <w:rPr>
          <w:rFonts w:ascii="Calibri" w:hAnsi="Calibri"/>
          <w:b/>
          <w:color w:val="4A6B25"/>
          <w:sz w:val="20"/>
        </w:rPr>
        <w:t xml:space="preserve">2. </w:t>
      </w:r>
      <w:r>
        <w:rPr>
          <w:rFonts w:ascii="Calibri" w:hAnsi="Calibri"/>
          <w:b w:val="0"/>
          <w:color w:val="3A4A28"/>
          <w:sz w:val="20"/>
        </w:rPr>
        <w:t>Continued biosimilar franchise momentum — Hadlima, Bildyos, Bilprevda, and Tofidence collectively offsetting legacy brand erosion and maintaining operational cash flow during the deal pendency [1]</w:t>
      </w:r>
    </w:p>
    <w:p>
      <w:pPr>
        <w:spacing w:before="40" w:after="40"/>
        <w:ind w:left="283"/>
      </w:pPr>
      <w:r>
        <w:rPr>
          <w:rFonts w:ascii="Calibri" w:hAnsi="Calibri"/>
          <w:b/>
          <w:color w:val="4A6B25"/>
          <w:sz w:val="20"/>
        </w:rPr>
        <w:t xml:space="preserve">3. </w:t>
      </w:r>
      <w:r>
        <w:rPr>
          <w:rFonts w:ascii="Calibri" w:hAnsi="Calibri"/>
          <w:b w:val="0"/>
          <w:color w:val="3A4A28"/>
          <w:sz w:val="20"/>
        </w:rPr>
        <w:t>Any Sun Pharma disclosures about preserving and investing in Organon's women's-health franchise post-close, which could support premium valuation if the deal were to be renegotiated higher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Deal-completion risk: regulatory disapproval, antitrust concerns, financing disruption, or failed shareholder vote on the Sun Pharma acquisition could cause the stock to reprice toward standalone fair value of $10-12, representing 20-30% downside from current levels [1]</w:t>
      </w:r>
    </w:p>
    <w:p>
      <w:pPr>
        <w:spacing w:before="40" w:after="40"/>
        <w:ind w:left="283"/>
      </w:pPr>
      <w:r>
        <w:rPr>
          <w:rFonts w:ascii="Calibri" w:hAnsi="Calibri"/>
          <w:b/>
          <w:color w:val="4A6B25"/>
          <w:sz w:val="20"/>
        </w:rPr>
        <w:t xml:space="preserve">2. </w:t>
      </w:r>
      <w:r>
        <w:rPr>
          <w:rFonts w:ascii="Calibri" w:hAnsi="Calibri"/>
          <w:b w:val="0"/>
          <w:color w:val="3A4A28"/>
          <w:sz w:val="20"/>
        </w:rPr>
        <w:t>D/E of 850% with $8.55B debt against $1.13B cash represents a structurally unsustainable balance sheet that severely constrains strategic flexibility if Organon remains independent [1]</w:t>
      </w:r>
    </w:p>
    <w:p>
      <w:pPr>
        <w:spacing w:before="40" w:after="40"/>
        <w:ind w:left="283"/>
      </w:pPr>
      <w:r>
        <w:rPr>
          <w:rFonts w:ascii="Calibri" w:hAnsi="Calibri"/>
          <w:b/>
          <w:color w:val="4A6B25"/>
          <w:sz w:val="20"/>
        </w:rPr>
        <w:t xml:space="preserve">3. </w:t>
      </w:r>
      <w:r>
        <w:rPr>
          <w:rFonts w:ascii="Calibri" w:hAnsi="Calibri"/>
          <w:b w:val="0"/>
          <w:color w:val="3A4A28"/>
          <w:sz w:val="20"/>
        </w:rPr>
        <w:t>Ongoing revenue erosion from loss of exclusivity on legacy branded products and China volume-based procurement pressures — Q1 2026 revenue fell 4% YoY with adjusted EPS declining 30% — threatens operational viability without deal completion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Pharmaceutical manufacturing, biosimilar development, and regulatory approval are physical-world, heavily regulated processes structurally immune to AI substitution — producing, distributing, and gaining FDA/EMA approval for physical drug products requires manufacturing infrastructure, clinical trial data, and regulatory expertise that AI tools cannot replicate [1][3]. Organon's established brand portfolio (Nexplanon, Nasonex, Singulair) benefits from physician prescribing habits and patient familiarity that AI cannot displace. The only exposure is that AI-accelerated drug discovery by competitors could compress development timelines for rival products, but this does not threaten Organon's existing revenue streams. AI Opportunity (0/1): No evidence of AI-generated revenue; Organon has not disclosed any AI-powered products or AI-driven savings initiatives.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Organon Q1 2026 Financial Results and Sun Pharma Merger — Revenue $1.46B (-4% YoY), Adjusted EPS $0.71, FY2026 Guidance $6.2B (Withdrawn), $14.00/Share Acquisition — SEC 8-K, Quartr, MarketBeat,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Organon Leadership and Culture — CEO Kevin Ali, Glassdoor 3.8-3.9/5 (69% CEO Approval), Founders Culture, Employee Reviews — Glassdoor, Comparably, 2021-2026</w:t>
      </w:r>
    </w:p>
    <w:p>
      <w:pPr>
        <w:spacing w:before="20" w:after="20"/>
        <w:ind w:left="170"/>
      </w:pPr>
      <w:r>
        <w:rPr>
          <w:rFonts w:ascii="Calibri" w:hAnsi="Calibri"/>
          <w:b/>
          <w:color w:val="4A6B25"/>
          <w:sz w:val="15"/>
        </w:rPr>
        <w:t xml:space="preserve">3. </w:t>
      </w:r>
      <w:r>
        <w:rPr>
          <w:rFonts w:ascii="Calibri" w:hAnsi="Calibri"/>
          <w:b w:val="0"/>
          <w:color w:val="3A4A28"/>
          <w:sz w:val="17"/>
        </w:rPr>
        <w:t>Organon ESG and Governance — 10-K Risk Factors, Anti-ESG Pressure, Women's Health Mission, DEI Compliance Costs — SEC 10-K FY2025, Proxy Filings,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