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OHI</w:t>
      </w:r>
      <w:r>
        <w:rPr>
          <w:rFonts w:ascii="Calibri" w:hAnsi="Calibri"/>
          <w:b/>
          <w:color w:val="1A2010"/>
          <w:sz w:val="40"/>
        </w:rPr>
        <w:t xml:space="preserve">  Omega Healthcare Investors, Inc.</w:t>
      </w:r>
    </w:p>
    <w:p>
      <w:pPr>
        <w:spacing w:after="120"/>
      </w:pPr>
      <w:r>
        <w:rPr>
          <w:rFonts w:ascii="Calibri" w:hAnsi="Calibri"/>
          <w:b/>
          <w:color w:val="6E8450"/>
          <w:sz w:val="18"/>
        </w:rPr>
        <w:t>DIVIDEND SLEEVE · 2026-09-14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Omega Healthcare Investors is a Real Estate Investment Trust providing financing and capital to the long-term healthcare industry in the United States and United Kingdom, with a focus on skilled nursing and assisted living facilities. Omega's portfolio includes over 1,000 operating facilities operated by approximately 90 different operators across 42 states, the District of Columbia, and the UK/Jersey. Q2 2026 revenue was $314.3M (+11% YoY) with AFFO of $0.83/share. The board increased the quarterly dividend to $0.68/share in Q2 2026 — the first raise since 2019. Matthew Gourmand succeeds Taylor Pickett as CEO effective October 1, 2026.</w:t>
      </w:r>
    </w:p>
    <w:p>
      <w:r>
        <w:rPr>
          <w:rFonts w:ascii="Calibri" w:hAnsi="Calibri"/>
          <w:b/>
          <w:color w:val="6E8450"/>
          <w:sz w:val="18"/>
        </w:rPr>
        <w:t>69 Employees · https://www.omegahealthcare.com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Omega has meaningfully diversified its portfolio beyond U.S. skilled nursing — UK/Jersey operations represent a significant portion of facilities, and the company deployed approximately $1.1B of capital in 2025, directing roughly two-thirds into senior housing and UK assets, representing a strategic pivot from its traditional SNF-only model [1]. Q1 2026 revenue growth of 16.6% YoY demonstrates successful capital recycling [2]. AI Deployment (1/2): Omega's strategic investment in MedaSync, an AI-driven reimbursement optimization platform for skilled nursing facilities that reduces revenue leakage by up to 15% in pilot programs, demonstrates proactive AI adoption at the operator level [3]. Market Share (1/2): Omega is one of the largest healthcare REITs in the U.S. with over 1,000 facilities across approximately 90 operators, though it competes with Sabra Health Care, CareTrust, and National Health Investors for operator relationships and acquisition pipeline [1][2]. Pipeline (1/2): The RIDEA (REIT Investment Diversification and Empowerment Act) strategy gives Omega direct exposure to senior housing operations rather than pure triple-net leases, expanding the addressable opportunity set and growth profile [1]. R&amp;D Intensity (0/1): Not applicable for a healthcare REIT — capital deployment and operator relationship management replace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Omega's stated purpose — to be 'a source of capital to the healthcare industry' by identifying 'long-term investments in quality healthcare properties with outstanding operators' — is clear and identifies who the company serves, but is functional rather than inspirational and could describe any healthcare REIT [4]. CEO Taylor Pickett emphasizes sustainability as part of Omega's strategic framework. Community Impact (1/2): Omega sponsors Administrators in Training (AIT) programs at select facilities to develop the next generation of skilled nursing leaders, with a focus on enhancing representation of underrepresented groups [5]. The ESG program includes sustainability capital expenditure incentives for operators and a four-pillar sustainability framework covering Managing Our Footprint, Supporting Our People, Investing in Our Community, and Protecting Our Stakeholders [5]. Employee Retention (0/2): With only 69 full-time employees, Omega operates as a lean investment management team. No specific retention metrics or voluntary turnover data are publicly available. Insider Buying (1/2): CEO C. Taylor Pickett's 24+ year tenure demonstrates deep alignment with the company's long-term direction. Recent leadership transitions including Matthew Gourmand as President and Vikas Gupta as CIO signal planned, orderly succession rather than disruption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revenue of $314.3M grew 11% YoY, following Q1 revenue of $322.9M (+16.6% YoY), driven by $1.1B of capital deployment in 2025 and annual rent escalators [2]. Q2 AFFO of $261M ($0.83/share vs $0.77 prior year, +7.8% YoY) and raised 2026 AFFO guidance of $3.19-$3.25/share demonstrate sustained earnings momentum [2]. D/E of 86% is above the 70% target, scoring 0.93 [6]. ROE improved to 16.22%, now exceeding the 15% target, scoring full marks. Profit margin of 49.6% scores 1.0. Forward P/E of 21.6x scores 0.96. Revenue growth 5yr CAGR of 8.3% scores 0.89. The dividend profile improved: consecutive years paid stands at 33 (scoring 1.0 at 2x weight), and the quarterly dividend was raised to $0.68/share in Q2 2026 — the first increase since 2019, yielding 1 consecutive year of growth (scoring 0.1) [2]. The 5yr dividend growth CAGR remains near zero at 0.3% (scoring 0.05 at 2x weight), reflecting six years of frozen payments. GAAP payout ratio of 138% scores 0 but AFFO payout of ~83% is the more relevant REIT metric. Liquidity adequate at ~$96M daily dollar volume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Omega Healthcare demonstrates meaningful infinite game characteristics through CEO Pickett's 24-year tenure and consistent commitment to being the premier capital source for long-term healthcare facilities. The company navigated COVID — the worst crisis in skilled nursing history — while maintaining dividend payments and working through operator bankruptcies with discipline. The diversification into UK operations, senior housing, and RIDEA structures shows strategic evolution. However, the flat dividend since 2020 and reliance on acquisitive growth over organic innovation reflect a pragmatic rather than visionary approach to long-term value creation.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Omega's purpose — providing capital to support quality long-term healthcare for aging populations — connects the company's work to a genuine societal need that transcends quarterly earnings. CEO Pickett's 24-year tenure demonstrates sustained commitment through multiple healthcare cycles, including COVID and the Genesis Health Care bankruptcy [1][2]. The expansion into UK operations reflects a belief that the healthcare capital mission extends beyond U.S. borders. However, the cause is more functional than transformative — Omega is a financing vehicle rather than a healthcare innovator.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Omega operates with a lean 69-person team under stable leadership. Recent transitions — elevating Matthew Gourmand to President and Vikas Gupta to CIO — represent orderly succession planning rather than disruptive changes [3]. CEO Pickett's 24-year tenure provides leadership continuity that few REITs can match. However, with such a small employee base, evidence to evaluate broader cultural health is limited.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Management acknowledges the competitive landscape in earnings calls but does not explicitly reference competitors as sources of learning or improvement. The Q1 2026 results focused on Omega's own capital deployment strategy and operator relationships rather than competitive positioning vis-a-vis Sabra, CareTrust, or National Health Investors [2]. The competitive language is about executing Omega's strategy rather than learning from peers.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Omega has shown incremental strategic evolution — expanding from U.S.-only skilled nursing into UK care homes, moving into senior housing, and adopting the RIDEA operating structure that provides direct operational exposure rather than pure triple-net leases [1]. The MedaSync AI investment represents early-stage technological adaptation. These are evolutionary extensions of the core model rather than transformative reinventions — Omega remains fundamentally a healthcare facility financing vehicle.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Omega demonstrated courage in navigating the Genesis Health Care bankruptcy — its largest operator — by maintaining operations and working through the restructuring rather than panic-selling assets [1]. The company maintained its $2.68/share annual dividend through COVID-era occupancy declines when many REITs cut dividends, and Q1 2026 AFFO of $0.82/share ($3.28 annualized) now comfortably covers the payout [2]. However, six consecutive years without a dividend increase also reflects conservative pragmatism over shareholder reward.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Omega Healthcare Investors offers a compelling 5.78% dividend yield backed by 33 consecutive years of payments and a critical inflection point: the board raised the quarterly dividend to $0.68/share in Q2 2026, the first increase since 2019, ending six years of stagnation [2]. Q2 2026 revenue of $314.3M (+11% YoY) and AFFO of $0.83/share (+7.8% YoY) led management to maintain raised 2026 AFFO guidance of $3.19-$3.25/share. ROE improved to 16.22%, now exceeding the 15% target, reflecting the earnings recovery inflection. The $1.1B capital deployment in 2025 — with two-thirds directed toward senior housing and UK assets — continues to produce revenue acceleration. The aging demographic tailwind (65+ population growing ~3% annually) provides secular demand support, and Omega's 1,000+ facility portfolio across approximately 90 operators creates scale advantages. The Inspire Impact Score of 28 (ALIGNED) supports faith-based allocation [2][6].</w:t>
      </w:r>
    </w:p>
    <w:p>
      <w:pPr>
        <w:spacing w:after="120"/>
      </w:pPr>
      <w:r>
        <w:rPr>
          <w:rFonts w:ascii="Calibri" w:hAnsi="Calibri"/>
          <w:b w:val="0"/>
          <w:color w:val="3A4A28"/>
          <w:sz w:val="20"/>
        </w:rPr>
        <w:t>The bear case centers on CEO transition risk and operator credit uncertainty. Taylor Pickett's retirement after 24 years as CEO and Matthew Gourmand's appointment effective October 1, 2026 introduces the most significant leadership change in Omega's modern history — Gourmand must prove he can maintain Pickett's discipline in capital allocation and operator relationships [3]. While the dividend was finally raised, the increase from $0.67 to $0.68/quarter (+1.5%) is barely above inflation, and the GAAP payout ratio of 138% remains unsustainable on a reported earnings basis. The Genesis Health Care bankruptcy exposed operator concentration risk, and persistent skilled nursing staffing shortages (vacancy rates above 20% nationally) continue to pressure operator profitability. D/E of 86% is manageable but leaves limited room for accretive leveraged acquisitions. Interest rate sensitivity as a high-yield REIT means OHI competes with fixed income for capital allocation, and sustained higher rates compress the yield spread that attracts income investors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growth resumed — quarterly dividend raised to $0.68/share in Q2 2026, the first increase since 2019, with AFFO coverage of ~1.2x ($3.22 midpoint vs $2.72 annual dividend) providing runway for continued increases that could catalyze re-rating among income investors [2]</w:t>
      </w:r>
    </w:p>
    <w:p>
      <w:pPr>
        <w:spacing w:before="40" w:after="40"/>
        <w:ind w:left="283"/>
      </w:pPr>
      <w:r>
        <w:rPr>
          <w:rFonts w:ascii="Calibri" w:hAnsi="Calibri"/>
          <w:b/>
          <w:color w:val="4A6B25"/>
          <w:sz w:val="20"/>
        </w:rPr>
        <w:t xml:space="preserve">2. </w:t>
      </w:r>
      <w:r>
        <w:rPr>
          <w:rFonts w:ascii="Calibri" w:hAnsi="Calibri"/>
          <w:b w:val="0"/>
          <w:color w:val="3A4A28"/>
          <w:sz w:val="20"/>
        </w:rPr>
        <w:t>RIDEA strategy execution and senior housing exposure generating higher risk-adjusted returns than traditional triple-net leases, expanding the growth profile and addressable market beyond skilled nursing [1]</w:t>
      </w:r>
    </w:p>
    <w:p>
      <w:pPr>
        <w:spacing w:before="40" w:after="40"/>
        <w:ind w:left="283"/>
      </w:pPr>
      <w:r>
        <w:rPr>
          <w:rFonts w:ascii="Calibri" w:hAnsi="Calibri"/>
          <w:b/>
          <w:color w:val="4A6B25"/>
          <w:sz w:val="20"/>
        </w:rPr>
        <w:t xml:space="preserve">3. </w:t>
      </w:r>
      <w:r>
        <w:rPr>
          <w:rFonts w:ascii="Calibri" w:hAnsi="Calibri"/>
          <w:b w:val="0"/>
          <w:color w:val="3A4A28"/>
          <w:sz w:val="20"/>
        </w:rPr>
        <w:t>Aging population demographic wave — the 65+ cohort is the fastest-growing segment of the U.S. population at ~3% annually, driving secular demand for skilled nursing beds and post-acute care facilities that directly benefits occupancy and rent coverage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Operator credit deterioration — Omega's triple-net lease model depends on operator profitability, and persistent skilled nursing staffing shortages (vacancy rates above 20% nationally) pressure operator margins and rent coverage, creating potential for lease restructurings or defaults [1]</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 as a high-yield REIT with D/E of 85.6% and $4.3B debt, sustained higher-for-longer rates increase borrowing costs while compressing the yield spread that attracts income investors, potentially driving capital to fixed-income alternatives [6]</w:t>
      </w:r>
    </w:p>
    <w:p>
      <w:pPr>
        <w:spacing w:before="40" w:after="40"/>
        <w:ind w:left="283"/>
      </w:pPr>
      <w:r>
        <w:rPr>
          <w:rFonts w:ascii="Calibri" w:hAnsi="Calibri"/>
          <w:b/>
          <w:color w:val="4A6B25"/>
          <w:sz w:val="20"/>
        </w:rPr>
        <w:t xml:space="preserve">3. </w:t>
      </w:r>
      <w:r>
        <w:rPr>
          <w:rFonts w:ascii="Calibri" w:hAnsi="Calibri"/>
          <w:b w:val="0"/>
          <w:color w:val="3A4A28"/>
          <w:sz w:val="20"/>
        </w:rPr>
        <w:t>CEO succession risk — Taylor Pickett's retirement after 24 years and Matthew Gourmand's appointment as CEO effective October 1, 2026 introduces leadership transition risk during a period of strategic expansion into RIDEA and international markets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Omega's core business — owning and financing physical skilled nursing and assisted living facilities — is structurally immune to AI disruption. AI cannot replace the physical real estate, licensed beds, or hands-on patient care that skilled nursing facilities provide [1]. The aging U.S. population (65+ demographic growing at 3% annually) creates secular demand tailwinds that AI amplifies rather than threatens — AI-driven healthcare diagnostics and remote monitoring increase the pipeline of patients who need post-acute physical care. Regulatory requirements for licensed facility beds and staffing ratios create additional moats that AI cannot circumvent. AI Opportunity (0/1): Omega's MedaSync investment enables AI-driven reimbursement optimization for its operators, but this is an operator efficiency tool rather than a direct revenue stream for OHI [3]. Omega does not generate quantifiable AI-related revenue as a REIT.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Omega Healthcare Investors FY2025 Results and Capital Deployment — $1.1B invested (2/3 in senior housing and UK), portfolio diversification strategy, Genesis restructuring, February 2026</w:t>
      </w:r>
    </w:p>
    <w:p>
      <w:pPr>
        <w:spacing w:before="20" w:after="20"/>
        <w:ind w:left="170"/>
      </w:pPr>
      <w:r>
        <w:rPr>
          <w:rFonts w:ascii="Calibri" w:hAnsi="Calibri"/>
          <w:b/>
          <w:color w:val="4A6B25"/>
          <w:sz w:val="15"/>
        </w:rPr>
        <w:t xml:space="preserve">2. </w:t>
      </w:r>
      <w:r>
        <w:rPr>
          <w:rFonts w:ascii="Calibri" w:hAnsi="Calibri"/>
          <w:b w:val="0"/>
          <w:color w:val="3A4A28"/>
          <w:sz w:val="17"/>
        </w:rPr>
        <w:t>Omega Healthcare Q2 2026 Earnings Release — Revenue $314.3M (+11% YoY), AFFO $261M ($0.83/share vs $0.77), Dividend Raised to $0.68/Quarter (First Increase Since 2019), Guidance $3.19-$3.25/share, July 2026</w:t>
      </w:r>
    </w:p>
    <w:p>
      <w:pPr>
        <w:spacing w:before="20" w:after="20"/>
        <w:ind w:left="170"/>
      </w:pPr>
      <w:r>
        <w:rPr>
          <w:rFonts w:ascii="Calibri" w:hAnsi="Calibri"/>
          <w:b/>
          <w:color w:val="4A6B25"/>
          <w:sz w:val="15"/>
        </w:rPr>
        <w:t xml:space="preserve">3. </w:t>
      </w:r>
      <w:r>
        <w:rPr>
          <w:rFonts w:ascii="Calibri" w:hAnsi="Calibri"/>
          <w:b w:val="0"/>
          <w:color w:val="3A4A28"/>
          <w:sz w:val="17"/>
        </w:rPr>
        <w:t>Omega Healthcare Leadership Transition — Matthew Gourmand Named CEO Effective October 1, 2026; Neal Ballew as CFO August 1, 2026; Taylor Pickett Retiring After 24 Years, 2026</w:t>
      </w:r>
    </w:p>
    <w:p>
      <w:pPr>
        <w:spacing w:before="20" w:after="20"/>
        <w:ind w:left="170"/>
      </w:pPr>
      <w:r>
        <w:rPr>
          <w:rFonts w:ascii="Calibri" w:hAnsi="Calibri"/>
          <w:b/>
          <w:color w:val="4A6B25"/>
          <w:sz w:val="15"/>
        </w:rPr>
        <w:t xml:space="preserve">4. </w:t>
      </w:r>
      <w:r>
        <w:rPr>
          <w:rFonts w:ascii="Calibri" w:hAnsi="Calibri"/>
          <w:b w:val="0"/>
          <w:color w:val="3A4A28"/>
          <w:sz w:val="17"/>
        </w:rPr>
        <w:t>Omega Healthcare Corporate Website — mission statement, sustainability framework, investor relations,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Omega Healthcare ESG/Sustainability Report — AIT programs, sustainability capital incentives, four-pillar framework, 2024-2025</w:t>
      </w:r>
    </w:p>
    <w:p>
      <w:pPr>
        <w:spacing w:before="20" w:after="20"/>
        <w:ind w:left="170"/>
      </w:pPr>
      <w:r>
        <w:rPr>
          <w:rFonts w:ascii="Calibri" w:hAnsi="Calibri"/>
          <w:b/>
          <w:color w:val="4A6B25"/>
          <w:sz w:val="15"/>
        </w:rPr>
        <w:t xml:space="preserve">6. </w:t>
      </w:r>
      <w:r>
        <w:rPr>
          <w:rFonts w:ascii="Calibri" w:hAnsi="Calibri"/>
          <w:b w:val="0"/>
          <w:color w:val="3A4A28"/>
          <w:sz w:val="17"/>
        </w:rPr>
        <w:t>StockAnalysis / Yahoo Finance — OHI Key Statistics (D/E 86%, ROE 16.22%, Profit Margin 49.59%, Forward P/E 21.56, Dividend Yield 5.78%, Stock Price ~$47),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