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OIS</w:t>
      </w:r>
      <w:r>
        <w:rPr>
          <w:rFonts w:ascii="Calibri" w:hAnsi="Calibri"/>
          <w:b/>
          <w:color w:val="1A2010"/>
          <w:sz w:val="40"/>
        </w:rPr>
        <w:t xml:space="preserve">  Oil States International, Inc.</w:t>
      </w:r>
    </w:p>
    <w:p>
      <w:pPr>
        <w:spacing w:after="120"/>
      </w:pPr>
      <w:r>
        <w:rPr>
          <w:rFonts w:ascii="Calibri" w:hAnsi="Calibri"/>
          <w:b/>
          <w:color w:val="6E8450"/>
          <w:sz w:val="18"/>
        </w:rPr>
        <w:t>GROWTH SLEEVE · 2026-09-28 · Inspire: 57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NYSE · United States</w:t>
      </w:r>
    </w:p>
    <w:p>
      <w:pPr>
        <w:spacing w:after="80"/>
      </w:pPr>
      <w:r>
        <w:rPr>
          <w:rFonts w:ascii="Calibri" w:hAnsi="Calibri"/>
          <w:b w:val="0"/>
          <w:color w:val="3A4A28"/>
          <w:sz w:val="20"/>
        </w:rPr>
        <w:t>Oil States International provides engineered capital equipment and consumable products for energy, industrial, and military sectors worldwide. Operates through Offshore Manufactured Products (subsea connectors, marine risers, cranes), Completion and Production Services, and Downhole Technologies (perforating systems, shaped charges). Strategic pivot to offshore/international (&gt;70% of revenue) and military (48% of backlog) has diversified the business from US land drilling dependence. CEO Lloyd Hajdik assumed leadership in May 2026 following Cindy Taylor's retirement after 19 years. Backlog at decade-high $451M. Market cap approximately $500M.</w:t>
      </w:r>
    </w:p>
    <w:p>
      <w:r>
        <w:rPr>
          <w:rFonts w:ascii="Calibri" w:hAnsi="Calibri"/>
          <w:b/>
          <w:color w:val="6E8450"/>
          <w:sz w:val="18"/>
        </w:rPr>
        <w:t>4,500 Employees · https://www.oilstatesintl.com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Oil States diversified its revenue base from US onshore oil dependence to a mix where offshore and international activity now exceeds 70% of consolidated revenue, and military products represent 48% of the record $451M backlog — a meaningful strategic shift over the past 3-5 years [1]. However, the transformation was incremental and reactive to the US onshore downturn rather than a proactive reinvention. The ESG Accelerator Award from the Energy Workforce &amp; Technology Council recognizes environmental innovation efforts [3]. AI Deployment (0/2): No evidence of AI deployment in products, operations, or R&amp;D. Oil States remains a traditional engineered equipment manufacturer with no AI strategy evident in public communications [3]. Market Share (1/2): Oil States holds meaningful niche positions in subsea connectors, offshore crane manufacturing, and military perforating products, but is not a category leader or dominant share player in any large addressable market [1]. Product Pipeline (1/2): Downhole technology volumes for shaped charges are doubling quarter-over-quarter, and the military backlog provides multi-year order visibility, but no specific next-generation products with defined launch timelines have been announced [1]. R&amp;D Intensity (0/1): No evidence of above-average R&amp;D investment relative to oilfield services peers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Oil States does not prominently articulate a purpose or mission beyond its operational description of providing engineered capital equipment for energy, industrial, and military sectors [3]. No distinctive vision statement connecting the company's work to a larger purpose was found. Retiring CEO Cindy Taylor was recognized for shaping 'a culture of integrity, innovation, and excellence,' but this describes leadership values rather than a Just Cause. Community Impact (0/2): ESG Accelerator Award for ESG reporting advances suggests awareness, but no evidence of significant charitable foundations, community investment programs, or distinctive philanthropic initiatives [3]. Employee Retention (0/2): No publicly available data on employee tenure, voluntary turnover, or cultural characteristics [3]. Insider Buying (0/2): No evidence of meaningful net insider buying by executives. The company repurchased $5M in shares as a corporate action in Q2 2026, but this reflects capital allocation policy rather than individual insider conviction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balance sheet is a clear strength — D/E of 6.2% reflects near-zero leverage with minimal outstanding debt, providing financial flexibility through the energy cycle [1][4]. Forward P/E of 11.30 is well below the 20 target, reflecting reasonable valuation for a cyclical recovery with improving profitability [4]. However, profitability metrics remain deeply negative — ROE of -17.0% and profit margin of -16.8% both score at the floor, though the company returned to positive GAAP net income of $6M in Q2 2026 and EBITDA margins improved from 12% (Q4 2024) to 32% (Q4 2025) [1]. Revenue is declining — yfinance trailing growth of -5.3%, with FY2026 guidance of $640-660M below FY2025's $669M as geopolitical delays push Middle East connector orders into 2027 [1]. The 5-year revenue CAGR of approximately 8.2% (from COVID-depressed 2020 base) masks the recent decline from the $782M FY2023 peak. PEG ratio unavailable and excluded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Oil States International operates as a finite game player focused on navigating commodity cycles and converting backlog into revenue quarter by quarter. The company lacks a publicly articulated purpose beyond serving its end markets, and strategic decisions appear driven by market conditions rather than a Just Cause. The orderly CEO succession from Cindy Taylor (19 years) to Lloyd Hajdik and the military diversification show organizational stability, but the company's identity is tied to cyclical energy markets rather than an enduring vision.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Oil States does not articulate a vision of a future state that inspires sacrifice or commitment beyond profit [3]. The company exists to manufacture and sell engineered equipment for energy and military customers. There is no publicly stated Just Cause, no aspirational mission connecting the work to a larger purpose, and strategic decisions appear driven by market opportunity (pivoting to military when onshore oil weakened) rather than a guiding purpose. Cindy Taylor's legacy of 'integrity, innovation, and excellence' describes values, not a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CEO succession from Cindy Taylor (25+ years at OIS, 19 as CEO) to Lloyd Hajdik was an orderly internal promotion — Hajdik has been with Oil States since 2013, and CFO Matthew Autenrieth was also promoted from within [3]. These internal promotions suggest organizational stability and leadership continuity. Taylor was recognized for shaping a culture of integrity. However, no specific data on employee culture, turnover, or organizational trust is publicly available, and the cyclical nature of oilfield services typically involves workforce fluctuations that strain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in management commentary of acknowledging competitors' strengths or framing competition as an opportunity to improve [1]. Oil States competes against TechnipFMC, Baker Hughes, and Hunting PLC, but public communications focus on backlog conversion, market conditions, and internal execution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Oil States evolved its revenue mix meaningfully — offshore and international activity now exceeds 70% of revenue (up from a US onshore-dominated mix), and military products grew to 48% of the $451M backlog, providing diversification away from volatile US drilling cycles [1]. This shift was driven by market conditions rather than a proactive vision, but the company demonstrated willingness to follow demand into new end markets rather than clinging to its US onshore heritage.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Oil States maintained a fortress balance sheet (D/E 6.2%, near-zero net debt) through the oil services downcycle, resisting the temptation to leverage up for growth or pursue aggressive M&amp;A [1]. Management continued investing in military and offshore capabilities during periods of declining revenue, and the planned CEO succession demonstrates deliberate organizational planning. However, no specific example of a costly, principled decision that sacrificed near-term results for long-term capability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Oil States achieved a decade-high backlog of $451M with a 1.2x book-to-bill ratio, driven by diversification into military products (48% of backlog) and offshore/international markets (&gt;70% of revenue) [1]. The company returned to positive GAAP net income in Q2 2026 ($6M), EBITDA margins expanded from 12% to 32% over four quarters, and the balance sheet is effectively debt-free (D/E 6.2%). Forward P/E of 11.30x provides downside protection, and the military backlog offers multi-year revenue visibility that insulates against oil price volatility. Management guided FY2026 EBITDA of $77-83M with $35-40M in free cash flow [1]. The record backlog represents the highest level since March 2015, suggesting a structural improvement in the business mix.</w:t>
      </w:r>
    </w:p>
    <w:p>
      <w:pPr>
        <w:spacing w:after="120"/>
      </w:pPr>
      <w:r>
        <w:rPr>
          <w:rFonts w:ascii="Calibri" w:hAnsi="Calibri"/>
          <w:b w:val="0"/>
          <w:color w:val="3A4A28"/>
          <w:sz w:val="20"/>
        </w:rPr>
        <w:t>Revenue continues to decline — FY2026 guidance of $640-660M represents a further contraction from FY2025's $669M and a 17% decline from the $782M FY2023 peak, as geopolitical uncertainty in the Middle East delays connector and production facility orders into 2027 [1]. TTM profitability metrics remain deeply negative (ROE -17.0%, profit margin -16.8%), and the Q2 return to GAAP profitability at $6M net income could reverse if revenue misses or margins compress [4]. The 48% military backlog concentration means 12-month conversion rates are lower (~55% vs historical 65-70%), creating extended revenue recognition timelines. Small market cap ($500M) and low stock price ($8.28) reflect extreme volatility typical of micro-cap oilfield services companies. The CEO transition from Taylor to Hajdik introduces leadership uncertainty during a critical period of business transformation.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$451M backlog with 1.2x book-to-bill and 48% military exposure provides multi-year revenue visibility, with offshore Manufactured Products project-driven revenues growing 9% to $391M in FY2025 [1]</w:t>
      </w:r>
    </w:p>
    <w:p>
      <w:pPr>
        <w:spacing w:before="40" w:after="40"/>
        <w:ind w:left="283"/>
      </w:pPr>
      <w:r>
        <w:rPr>
          <w:rFonts w:ascii="Calibri" w:hAnsi="Calibri"/>
          <w:b/>
          <w:color w:val="4A6B25"/>
          <w:sz w:val="20"/>
        </w:rPr>
        <w:t xml:space="preserve">2. </w:t>
      </w:r>
      <w:r>
        <w:rPr>
          <w:rFonts w:ascii="Calibri" w:hAnsi="Calibri"/>
          <w:b w:val="0"/>
          <w:color w:val="3A4A28"/>
          <w:sz w:val="20"/>
        </w:rPr>
        <w:t>Resolution of Middle East geopolitical delays could unlock deferred connector and production facility orders currently pushed into 2027, providing upside to FY2026-2027 revenue guidance [1]</w:t>
      </w:r>
    </w:p>
    <w:p>
      <w:pPr>
        <w:spacing w:before="40" w:after="40"/>
        <w:ind w:left="283"/>
      </w:pPr>
      <w:r>
        <w:rPr>
          <w:rFonts w:ascii="Calibri" w:hAnsi="Calibri"/>
          <w:b/>
          <w:color w:val="4A6B25"/>
          <w:sz w:val="20"/>
        </w:rPr>
        <w:t xml:space="preserve">3. </w:t>
      </w:r>
      <w:r>
        <w:rPr>
          <w:rFonts w:ascii="Calibri" w:hAnsi="Calibri"/>
          <w:b w:val="0"/>
          <w:color w:val="3A4A28"/>
          <w:sz w:val="20"/>
        </w:rPr>
        <w:t>Shaped charge volumes doubling quarter-over-quarter in Downhole Technologies and EBITDA margin expansion from 12% to 32% signal improving profitability trajectory as the business mix shifts toward higher-margin offshore and military work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declining from $782M (FY2023) to guided $640-660M (FY2026) despite record backlog, as long-cycle military contracts and Middle East delays extend conversion timelines beyond near-term periods [1]</w:t>
      </w:r>
    </w:p>
    <w:p>
      <w:pPr>
        <w:spacing w:before="40" w:after="40"/>
        <w:ind w:left="283"/>
      </w:pPr>
      <w:r>
        <w:rPr>
          <w:rFonts w:ascii="Calibri" w:hAnsi="Calibri"/>
          <w:b/>
          <w:color w:val="4A6B25"/>
          <w:sz w:val="20"/>
        </w:rPr>
        <w:t xml:space="preserve">2. </w:t>
      </w:r>
      <w:r>
        <w:rPr>
          <w:rFonts w:ascii="Calibri" w:hAnsi="Calibri"/>
          <w:b w:val="0"/>
          <w:color w:val="3A4A28"/>
          <w:sz w:val="20"/>
        </w:rPr>
        <w:t>TTM profitability remains deeply negative (ROE -17.0%, profit margin -16.8%), and the Q2 2026 return to GAAP profitability at $6M could reverse with any revenue shortfall or cost overrun [4]</w:t>
      </w:r>
    </w:p>
    <w:p>
      <w:pPr>
        <w:spacing w:before="40" w:after="40"/>
        <w:ind w:left="283"/>
      </w:pPr>
      <w:r>
        <w:rPr>
          <w:rFonts w:ascii="Calibri" w:hAnsi="Calibri"/>
          <w:b/>
          <w:color w:val="4A6B25"/>
          <w:sz w:val="20"/>
        </w:rPr>
        <w:t xml:space="preserve">3. </w:t>
      </w:r>
      <w:r>
        <w:rPr>
          <w:rFonts w:ascii="Calibri" w:hAnsi="Calibri"/>
          <w:b w:val="0"/>
          <w:color w:val="3A4A28"/>
          <w:sz w:val="20"/>
        </w:rPr>
        <w:t>Micro-cap ($500M) oilfield services company with $8.28 stock price is subject to extreme volatility, sector rotation risk, and potential liquidity concerns in stressed markets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Oil States' core business — manufacturing subsea connectors, marine risers, offshore cranes, perforating systems, and military explosive shaped charges — is entirely physical, heavily engineered, and deeply tied to real-world infrastructure that AI structurally cannot replace [1][3]. Products require precision metallurgy, pressure-rated manufacturing, military certification, and field deployment in extreme environments (deepwater subsea, military operations). AI may modestly improve manufacturing efficiency or design processes but cannot substitute for the physical equipment. No analyst has flagged AI disruption as a concern for oilfield equipment manufacturers. AI data center power requirements may indirectly increase natural gas demand, benefiting upstream activity and OIS equipment sales. AI Opportunity (0/1): No AI-related revenue, products, or services. Oil States is a traditional engineered equipment manufacturer with no AI deployment or AI-powered products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Oil States International Q2 2026 Earnings Release / Q4 FY2025 Results — Q2 $156.7M revenue, $19M EBITDA, record $451M backlog, 1.2x book-to-bill, FY2025 revenue $669M (+30% project-driven OMP), FY2026 guidance $640-660M, July 2026</w:t>
      </w:r>
    </w:p>
    <w:p>
      <w:pPr>
        <w:spacing w:before="20" w:after="20"/>
        <w:ind w:left="170"/>
      </w:pPr>
      <w:r>
        <w:rPr>
          <w:rFonts w:ascii="Calibri" w:hAnsi="Calibri"/>
          <w:b/>
          <w:color w:val="4A6B25"/>
          <w:sz w:val="15"/>
        </w:rPr>
        <w:t xml:space="preserve">2. </w:t>
      </w:r>
      <w:r>
        <w:rPr>
          <w:rFonts w:ascii="Calibri" w:hAnsi="Calibri"/>
          <w:b w:val="0"/>
          <w:color w:val="3A4A28"/>
          <w:sz w:val="17"/>
        </w:rPr>
        <w:t>Oil States International CEO Succession — Cindy Taylor retiring after 19 years, Lloyd Hajdik appointed CEO effective May 1, 2026, ESG Accelerator Award, March 2026</w:t>
      </w:r>
    </w:p>
    <w:p>
      <w:pPr>
        <w:spacing w:before="20" w:after="20"/>
        <w:ind w:left="170"/>
      </w:pPr>
      <w:r>
        <w:rPr>
          <w:rFonts w:ascii="Calibri" w:hAnsi="Calibri"/>
          <w:b/>
          <w:color w:val="4A6B25"/>
          <w:sz w:val="15"/>
        </w:rPr>
        <w:t xml:space="preserve">3. </w:t>
      </w:r>
      <w:r>
        <w:rPr>
          <w:rFonts w:ascii="Calibri" w:hAnsi="Calibri"/>
          <w:b w:val="0"/>
          <w:color w:val="3A4A28"/>
          <w:sz w:val="17"/>
        </w:rPr>
        <w:t>Oil States International SEC Filings / Corporate Website — 10-K, DEF 14A, ESG disclosures, product portfolio, leadership,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OIS Key Statistics: Forward P/E 11.30x, D/E 6.23%, ROE -17.03%, Profit Margin -16.78%, Stock Price $8.28, Avg Volume 607,822,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