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OKE</w:t>
      </w:r>
      <w:r>
        <w:rPr>
          <w:rFonts w:ascii="Calibri" w:hAnsi="Calibri"/>
          <w:b/>
          <w:color w:val="1A2010"/>
          <w:sz w:val="40"/>
        </w:rPr>
        <w:t xml:space="preserve">  ONEOK, Inc.</w:t>
      </w:r>
    </w:p>
    <w:p>
      <w:pPr>
        <w:spacing w:after="120"/>
      </w:pPr>
      <w:r>
        <w:rPr>
          <w:rFonts w:ascii="Calibri" w:hAnsi="Calibri"/>
          <w:b/>
          <w:color w:val="6E8450"/>
          <w:sz w:val="18"/>
        </w:rPr>
        <w:t>GROWTH SLEEVE · 2026-08-29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United States</w:t>
      </w:r>
    </w:p>
    <w:p>
      <w:pPr>
        <w:spacing w:after="80"/>
      </w:pPr>
      <w:r>
        <w:rPr>
          <w:rFonts w:ascii="Calibri" w:hAnsi="Calibri"/>
          <w:b w:val="0"/>
          <w:color w:val="3A4A28"/>
          <w:sz w:val="20"/>
        </w:rPr>
        <w:t>ONEOK, Inc. is one of the largest midstream service providers in the United States, operating natural gas gathering and processing, natural gas liquids (NGL) gathering, fractionation, transportation and storage, and refined products and crude oil transportation and storage. The company connects supply basins in the Mid-Continent, Williston, Permian, and Rocky Mountain regions to key market centers and export terminals along the Gulf Coast. Following the $18.8B acquisition of Magellan Midstream Partners in 2023, ONEOK expanded into refined products and crude oil transportation, serving approximately 40,000 miles of pipeline infrastructure.</w:t>
      </w:r>
    </w:p>
    <w:p>
      <w:r>
        <w:rPr>
          <w:rFonts w:ascii="Calibri" w:hAnsi="Calibri"/>
          <w:b/>
          <w:color w:val="6E8450"/>
          <w:sz w:val="18"/>
        </w:rPr>
        <w:t>9,500 Employees · https://www.oneok.com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$18.8B acquisition of Magellan Midstream Partners in September 2023 was a transformative deal that expanded ONEOK from a pure NGL/natural gas midstream operator into a diversified midstream company with refined products and crude oil transportation capabilities, opening major new revenue streams and roughly doubling the company's scale [1]. AI Deployment (0/2): No evidence of AI-powered products shipping to customers or quantified AI-driven operational savings. ONEOK's business is physical pipeline infrastructure with limited AI application. Market Share (1/2): Post-Magellan, ONEOK is one of the largest US midstream operators with dominant NGL gathering and processing positions in the Mid-Continent and Rocky Mountain regions, and a growing Gulf Coast presence with NGL volumes up 15% YoY in Gulf Coast/Permian [1]. Meaningful player but midstream remains fragmented across Enterprise Products, Williams, and others. Product Pipeline (1/2): Capital expansion projects underway in the Permian Basin and Gulf Coast regions, with record NGL raw feed throughput increasing 7% YoY and guided higher for full-year 2026, but these are capacity expansions rather than next-generation products [1][2]. R&amp;D Intensity (0/1): Midstream pipeline companies do not invest materially in R&amp;D; value creation comes through capital deployment in physical infrastructure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ONEOK's stated purpose centers on safely and reliably delivering essential energy products — a necessary function but interchangeable with any midstream peer. The mission does not articulate a deeper purpose or vision of a better future beyond the operational mandate of moving hydrocarbons through pipes. Community Impact (1/2): ONEOK maintains a corporate foundation supporting Tulsa-area communities and received an MSCI ESG Rating of AAA in 2024, with inclusion in 40+ ESG indices [5]. The company achieved approximately 50% of its 2030 GHG emissions reduction target and reduced Scope 1 methane emissions 36% from a 2019 baseline [5]. General corporate philanthropy without distinctive programs with quantified dollar amounts. Employee Retention (1/2): Glassdoor rating of 4.1/5 with 80% of employees recommending the company, and CEO Terry Spencer has led since 2014 (12 years), providing stable leadership [6]. However, reviews cite 'too many layers of middle management' and bureaucratic challenges [6]. Average retention indicators. Insider Buying (0/2): No meaningful net insider buying identified in the last 12 months. No evidence of CEO or executive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using Growth sleeve metrics. D/E of 150% scores 0.65 against the 70% target, reflecting significant leverage from the $18.8B Magellan acquisition, though the company generates strong EBITDA to service it [3]. ROE of 15.9% narrowly exceeds the 15% target, scoring 1.0 at 2x weight [3]. Revenue growth YoY of approximately 8% driven by record NGL volumes (raw feed throughput up 7%, Gulf Coast/Permian up 15%) scores 0.93 [1]. Revenue 5yr CAGR of approximately 5% scores 0.67 at 2x weight — inflated by the Magellan acquisition rather than pure organic growth. Forward P/E of 15.2 scores perfectly against the 20 target [4]. Profit margin of 9.3% scores 0.47 — typical for midstream companies where pass-through commodity revenues inflate the denominator [3]. Forward PEG of 4.42 scores 0.0 at 2x weight, exceeding the 3.0 floor — the primary drag on Infrastructure, reflecting the market pricing modest long-term earnings growth despite a reasonable P/E [4]. Liquidity floor cleared: approximately 5.5M avg daily volume x $89 = $490M daily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ONEOK demonstrates mixed infinite game characteristics. The company has operated for over 120 years (founded 1906), surviving multiple energy cycles, regulatory changes, and industry transformations — an extraordinary track record of playing to keep playing. The $18.8B Magellan acquisition showed strategic ambition to build a diversified midstream platform. However, the company lacks a compelling Just Cause beyond operational excellence, and its competitive language focuses on scale and market position rather than purpose-driven improvement [1][6].</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ONEOK's purpose centers on delivering essential energy products safely and reliably — a necessary infrastructure function but one that lacks the idealism and inclusivity Sinek requires of a true Just Cause. The mission is interchangeable with any midstream peer and does not describe a future state worth sacrificing for. The 120-year operating history demonstrates endurance but not purposeful direction. Strategic decisions appear driven by scale economics and market positioning rather than an animating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Terry Spencer has led since 2014 (12 years), providing stable leadership through the transformative Magellan acquisition. Glassdoor rating of 4.1/5 with 80% recommending the company suggests an adequate work environment [6]. However, employee reviews cite 'too many layers of middle management' and bureaucratic challenges, suggesting organizational complexity may hinder empowerment. The company successfully integrated approximately 3,000 Magellan employees without reported cultural disruption, indicating basic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ONEOK operates in a competitive midstream landscape alongside Enterprise Products Partners, Williams Companies, and Energy Transfer. The Magellan acquisition strategy reflected learning from Magellan's strengths in refined products transportation rather than competing with them — acquiring a worthy rival's capabilities to improve ONEOK's own offering. The company's expansion into Gulf Coast infrastructure acknowledges competitors' geographic advantages and seeks to build complementary capabilities rather than engage in destructive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ONEOK has evolved its business model meaningfully over time — from a natural gas utility (Oklahoma Natural Gas) to a pure NGL/gas midstream operator to a diversified midstream company through the $18.8B Magellan acquisition [1]. The Magellan deal expanded into refined products and crude oil transportation, representing a significant strategic evolution. However, the company remains fundamentally in the pipeline business — the pivot was into adjacent pipeline operations rather than a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$18.8B Magellan Midstream Partners acquisition was a bold strategic bet that more than doubled ONEOK's asset base and significantly increased leverage [1]. Spencer chose to transform the company through scale rather than optimize the existing NGL-focused business for near-term cash flow. The company also maintained its commitment to capital expansion during volatile energy markets, investing in Permian and Gulf Coast infrastructure. However, the acquisition was financially accretive from day one and carried limited risk of near-term earnings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ONEOK delivered a strong Q2 2026 with net income of $967M ($1.53/share, up 13% YoY) and raised full-year adjusted EBITDA guidance to $8.2B-$8.5B (midpoint $8.35B), driven by record NGL volumes with raw feed throughput increasing 7% YoY and Gulf Coast/Permian volumes surging 15% [1][2]. The post-Magellan integration is complete, creating one of the largest US midstream companies with approximately 40,000 miles of pipeline infrastructure spanning NGL, natural gas, refined products, and crude oil. Forward P/E of 15.2 is attractive for an infrastructure company with regulated-like cash flow visibility, and the 4.8% dividend yield provides meaningful income alongside a $4.28 annual dividend [4][7]. Rising AI-driven electricity demand is increasing natural gas consumption for power generation, creating a secular tailwind for ONEOK's gathering and processing operations.</w:t>
      </w:r>
    </w:p>
    <w:p>
      <w:pPr>
        <w:spacing w:after="120"/>
      </w:pPr>
      <w:r>
        <w:rPr>
          <w:rFonts w:ascii="Calibri" w:hAnsi="Calibri"/>
          <w:b w:val="0"/>
          <w:color w:val="3A4A28"/>
          <w:sz w:val="20"/>
        </w:rPr>
        <w:t>The bear case centers on ONEOK's elevated leverage (D/E 150%) from the Magellan acquisition and a Forward PEG of 4.42 that signals the market expects modest long-term earnings growth despite attractive near-term metrics [3][4]. The 76% payout ratio limits financial flexibility and constrains dividend growth — the 5yr dividend growth CAGR of just 2.0% trails inflation [7]. Profit margins of 9.3% are structurally compressed by pass-through commodity revenues, and revenue growth organically (excluding Magellan's addition) remains in the mid-single digits. ONEOK's exposure to commodity price volatility and potential regulatory changes to pipeline permitting add uncertainty to the long-term earnings trajectory. The transition risk from fossil fuels to renewables, while distant, represents a multi-decade structural overhang for midstream infrastructure companies.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NGL raw feed throughput with 15% volume growth in the Gulf Coast and Permian region, supported by continued Permian Basin production growth and new capacity expansion projects coming online [1]</w:t>
      </w:r>
    </w:p>
    <w:p>
      <w:pPr>
        <w:spacing w:before="40" w:after="40"/>
        <w:ind w:left="283"/>
      </w:pPr>
      <w:r>
        <w:rPr>
          <w:rFonts w:ascii="Calibri" w:hAnsi="Calibri"/>
          <w:b/>
          <w:color w:val="4A6B25"/>
          <w:sz w:val="20"/>
        </w:rPr>
        <w:t xml:space="preserve">2. </w:t>
      </w:r>
      <w:r>
        <w:rPr>
          <w:rFonts w:ascii="Calibri" w:hAnsi="Calibri"/>
          <w:b w:val="0"/>
          <w:color w:val="3A4A28"/>
          <w:sz w:val="20"/>
        </w:rPr>
        <w:t>Rising AI data center electricity demand driving increased natural gas consumption for power generation, creating a secular demand tailwind for ONEOK's gathering and processing operations</w:t>
      </w:r>
    </w:p>
    <w:p>
      <w:pPr>
        <w:spacing w:before="40" w:after="40"/>
        <w:ind w:left="283"/>
      </w:pPr>
      <w:r>
        <w:rPr>
          <w:rFonts w:ascii="Calibri" w:hAnsi="Calibri"/>
          <w:b/>
          <w:color w:val="4A6B25"/>
          <w:sz w:val="20"/>
        </w:rPr>
        <w:t xml:space="preserve">3. </w:t>
      </w:r>
      <w:r>
        <w:rPr>
          <w:rFonts w:ascii="Calibri" w:hAnsi="Calibri"/>
          <w:b w:val="0"/>
          <w:color w:val="3A4A28"/>
          <w:sz w:val="20"/>
        </w:rPr>
        <w:t>Full-year 2026 guidance raised with adjusted EBITDA midpoint of $8.35B — continued execution on the Magellan integration and organic growth could drive further estimate revisions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PEG of 4.42 signals the market expects only approximately 3% long-term EPS growth, and any deceleration in NGL volume growth from the current 7% pace could confirm this low-growth thesis, limiting upside potential [4]</w:t>
      </w:r>
    </w:p>
    <w:p>
      <w:pPr>
        <w:spacing w:before="40" w:after="40"/>
        <w:ind w:left="283"/>
      </w:pPr>
      <w:r>
        <w:rPr>
          <w:rFonts w:ascii="Calibri" w:hAnsi="Calibri"/>
          <w:b/>
          <w:color w:val="4A6B25"/>
          <w:sz w:val="20"/>
        </w:rPr>
        <w:t xml:space="preserve">2. </w:t>
      </w:r>
      <w:r>
        <w:rPr>
          <w:rFonts w:ascii="Calibri" w:hAnsi="Calibri"/>
          <w:b w:val="0"/>
          <w:color w:val="3A4A28"/>
          <w:sz w:val="20"/>
        </w:rPr>
        <w:t>Elevated leverage at 150% D/E from the Magellan acquisition constrains financial flexibility, and a payout ratio of 76% limits both dividend growth and deleveraging capacity [3][7]</w:t>
      </w:r>
    </w:p>
    <w:p>
      <w:pPr>
        <w:spacing w:before="40" w:after="40"/>
        <w:ind w:left="283"/>
      </w:pPr>
      <w:r>
        <w:rPr>
          <w:rFonts w:ascii="Calibri" w:hAnsi="Calibri"/>
          <w:b/>
          <w:color w:val="4A6B25"/>
          <w:sz w:val="20"/>
        </w:rPr>
        <w:t xml:space="preserve">3. </w:t>
      </w:r>
      <w:r>
        <w:rPr>
          <w:rFonts w:ascii="Calibri" w:hAnsi="Calibri"/>
          <w:b w:val="0"/>
          <w:color w:val="3A4A28"/>
          <w:sz w:val="20"/>
        </w:rPr>
        <w:t>Secular energy transition risk — while distant, long-term shift from fossil fuels to renewables could reduce pipeline utilization rates and strand assets, particularly refined products infrastructure acquired from Magellan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ONEOK operates physical pipeline infrastructure — approximately 40,000 miles of natural gas, NGL, refined products, and crude oil pipelines — that AI structurally cannot displace [1]. Midstream operations involve gathering, processing, fractionating, transporting, and storing physical hydrocarbons through regulated infrastructure with environmental and regulatory permitting that creates multi-decade barriers to entry. AI data centers and computing infrastructure are increasing electricity demand, which in turn increases natural gas demand for power generation, potentially benefiting ONEOK's gathering and processing operations. The business is immune to AI substitution by its physical nature. AI Opportunity (0/1): ONEOK does not generate revenue from AI products or services. While the company may use analytics and automation in pipeline operations, there is no quantifiable AI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ONEOK Q2 2026 Earnings Release — GlobeNewsWire, August 3, 2026</w:t>
      </w:r>
    </w:p>
    <w:p>
      <w:pPr>
        <w:spacing w:before="20" w:after="20"/>
        <w:ind w:left="170"/>
      </w:pPr>
      <w:r>
        <w:rPr>
          <w:rFonts w:ascii="Calibri" w:hAnsi="Calibri"/>
          <w:b/>
          <w:color w:val="4A6B25"/>
          <w:sz w:val="15"/>
        </w:rPr>
        <w:t xml:space="preserve">2. </w:t>
      </w:r>
      <w:r>
        <w:rPr>
          <w:rFonts w:ascii="Calibri" w:hAnsi="Calibri"/>
          <w:b w:val="0"/>
          <w:color w:val="3A4A28"/>
          <w:sz w:val="17"/>
        </w:rPr>
        <w:t>ONEOK Q2 2026 Earnings Call Highlights — Yahoo Finance, August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OKE Key Statistics and Financial Data,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OKE Statistics and Valuation Metrics,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ONEOK Corporate Sustainability Report and MSCI ESG Rating, 2024-2025</w:t>
      </w:r>
    </w:p>
    <w:p>
      <w:pPr>
        <w:spacing w:before="20" w:after="20"/>
        <w:ind w:left="170"/>
      </w:pPr>
      <w:r>
        <w:rPr>
          <w:rFonts w:ascii="Calibri" w:hAnsi="Calibri"/>
          <w:b/>
          <w:color w:val="4A6B25"/>
          <w:sz w:val="15"/>
        </w:rPr>
        <w:t xml:space="preserve">6. </w:t>
      </w:r>
      <w:r>
        <w:rPr>
          <w:rFonts w:ascii="Calibri" w:hAnsi="Calibri"/>
          <w:b w:val="0"/>
          <w:color w:val="3A4A28"/>
          <w:sz w:val="17"/>
        </w:rPr>
        <w:t>Glassdoor — ONEOK Employee Reviews and Company Ratings,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ONEOK Investor Relations — Dividend History,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