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OMF</w:t>
      </w:r>
      <w:r>
        <w:rPr>
          <w:rFonts w:ascii="Calibri" w:hAnsi="Calibri"/>
          <w:b/>
          <w:color w:val="1A2010"/>
          <w:sz w:val="40"/>
        </w:rPr>
        <w:t xml:space="preserve">  OneMain Holdings, Inc.</w:t>
      </w:r>
    </w:p>
    <w:p>
      <w:pPr>
        <w:spacing w:after="120"/>
      </w:pPr>
      <w:r>
        <w:rPr>
          <w:rFonts w:ascii="Calibri" w:hAnsi="Calibri"/>
          <w:b/>
          <w:color w:val="6E8450"/>
          <w:sz w:val="18"/>
        </w:rPr>
        <w:t>DIVIDEND SLEEVE · 2026-09-19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OneMain Holdings is the largest non-prime consumer lender in the United States, providing personal loans, auto finance, and credit cards through approximately 1,300 branch locations and digital channels. The company operates a $26.1B managed receivables portfolio serving over 4 million customer accounts [1]. OneMain reported Q2 2026 revenue of $1.6B (+6% YoY) and Q1 2026 revenue of $1.26B (+6.9% YoY), with adjusted EPS of $1.95 in Q1 (up from $1.72 in prior year) [1]. Formerly known as Springleaf Holdings, the company changed its name to OneMain Holdings in November 2015 and is headquartered in Evansville, Indiana.</w:t>
      </w:r>
    </w:p>
    <w:p>
      <w:r>
        <w:rPr>
          <w:rFonts w:ascii="Calibri" w:hAnsi="Calibri"/>
          <w:b/>
          <w:color w:val="6E8450"/>
          <w:sz w:val="18"/>
        </w:rPr>
        <w:t>9,300 Employees · https://www.onemainfinancial.com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OneMain has expanded from its core personal lending business into auto finance and credit cards over the past 3-4 years, passing 4 million customer accounts and growing managed receivables to $26.1B (+6% YoY) [1]. These are meaningful adjacency expansions, but the core business model of branch-based consumer lending has not fundamentally changed. Revenue growth remains in the mid-single-digit range. AI Deployment (1/2): CTO Larry Fitzpatrick has discussed advancements in GenAI and the company's innovation culture in public forums, suggesting AI is being applied to credit decisioning, underwriting, and operational efficiency [2]. However, no specific AI products with measurable revenue impact or quantified cost savings have been publicly disclosed. Market Share (2/2): OneMain is the undisputed category leader in non-prime consumer lending in the United States, operating the largest branch network (~1,300 locations) and managed receivables portfolio ($26.1B) in its segment [1]. No competitor matches its scale and reach in physical-world consumer lending to non-prime borrowers. Product Pipeline (0/2): Expansion into auto finance and credit cards is ongoing but no specific next-generation products with named launch dates were identified. R&amp;D Intensity (0/1): Financial services companies do not typically report R&amp;D as a separate line item, and no comparable technology investment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Doug Shulman has articulated a specific and thoughtful mission around 'helping hardworking Americans' access responsible credit — a purpose that differentiates OneMain from predatory lenders and connects its business to a meaningful social function: providing credit to underserved populations who cannot access traditional bank lending [2]. Shulman engages regularly with employees through town halls and in-person gatherings to reinforce this mission, and the company explicitly frames responsible lending as its purpose. Community Impact (1/2): OneMain was named to America's Top 100 Most Loved Workplaces in 2025, and the company's ESG Leadership Council reports to the Board on community impact and corporate responsibility [2][3]. The company describes a shared commitment to giving back to communities, though specific charitable programs with dollar amounts were not identified. Employee Retention (1/2): 89% of employees reported they could be themselves at work, and the Most Loved Workplaces recognition suggests above-average employee sentiment [2]. However, Glassdoor ratings are mediocre (3.0-3.1 on work-life balance, culture, and career opportunities), suggesting the positive culture messaging may not uniformly reflect frontline branch employee experience. Insider Buying (0/2): No evidence of meaningful net insider buying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OneMain's infrastructure is exceptionally strong on profitability and valuation: forward P/E of 7.08x (well below the 20x target), ROE of 23.28% (above 15% target), and profit margin of 25.86% (above 20% target) all score full marks [4]. The dividend profile is solid with an 8.5% 5-year CAGR (above the 6% target) and 8 consecutive years of payments [4]. The primary drags are the extreme D/E ratio of 673% (scoring 0.0), which is structural for a leveraged lending business but penalized by the algorithm, and a payout ratio of 63.2% (above the 40% target). Revenue growth of -2.7% per yfinance data scores 0.58, though the company reported 6-7% revenue growth in Q1-Q2 2026 earnings releases — the discrepancy likely reflects yfinance's revenue definition for financial companies [1]. The stock clears the liquidity floor with ~$61.9M average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OneMain demonstrates a genuine social purpose in providing responsible credit to underserved Americans, backed by leadership that articulates and reinforces this mission. CEO Doug Shulman's engagement with employees and the company's Most Loved Workplaces recognition suggest meaningful cultural investment. However, the company's competitive posture is market-share focused, the product expansions (auto, credit cards) are incremental rather than transformative, and the business model has not been tested through the kind of existential pivot that reveals infinite game thinking. OneMain plays a disciplined game in a mature industry, but it's more steady-state than visionary.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OneMain's purpose of helping hardworking Americans access responsible credit connects the company's work to a meaningful social function — providing financial access to non-prime borrowers who would otherwise turn to predatory lenders or go without credit [2]. CEO Shulman consistently references this mission in employee communications and strategic decisions, and the company's positioning as a 'responsible lender' differentiates it from peers. The mission has been reinforced over the company's history through its ESG framework and community engagement. However, the tension between 'helping' borrowers and charging high interest rates on non-prime loans has not been fully resolved, and the mission has not been tested through a transformative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OneMain's Top 100 Most Loved Workplaces designation (2025) and the finding that 89% of employees feel they can be themselves at work suggest a culture that values inclusion and employee voice [2]. CEO Shulman's regular town halls and in-person engagement reinforce organizational connectedness. However, Glassdoor ratings of 3.0-3.1 on work-life balance, culture, and career opportunities suggest the positive culture messaging may not uniformly reach frontline branch employees, who face the pressures of collections and high-volume lending operations.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OneMain's leadership publicly acknowledging fintech competitors' strengths or using competitive pressure as motivation for self-improvement. The company's communications focus on its market-leading position in non-prime lending without meaningful engagement with how fintech AI-driven lenders might push OneMain to improve its own credit models, digital experience, or cost structure.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OneMain has expanded from its core personal lending business into auto finance, credit cards, and optional insurance products, broadening its platform beyond a single-product lender [1]. The company also rebranded from Springleaf Holdings to OneMain Holdings in 2015, signaling strategic evolution. However, these are incremental adjacencies within consumer lending, not transformative pivots — the core business model of branch-based non-prime lending has remained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OneMain has maintained its dividend through economic uncertainty and continued investing in product expansion (auto finance, credit cards) while the non-prime lending environment faces rising delinquency concerns. The company reiterated full-year 2026 guidance with confidence that credit performance will improve in H2 2026 and into 2027 [1]. However, no evidence of costly long-term bets or principled decisions that sacrificed near-term earnings was identified — the company operates with disciplined risk management rather than visionary boldness.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OneMain at 7.08x forward earnings is a deeply undervalued category leader generating 23.3% ROE, 25.9% profit margin, and $3.2B operating cash flow on a $7B market cap — making it one of the cheapest profitable franchises in U.S. financial services [4]. The 6.9% dividend yield with 8 consecutive years of payments and 8.5% 5-year CAGR provides compelling income with visible growth, while the PEG ratio of 0.75 suggests the market dramatically underestimates earnings growth potential [4]. OneMain's expansion into auto finance and credit cards has diversified revenue beyond personal loans, with managed receivables growing 6% YoY to $26.1B and the customer base surpassing 4 million [1]. Q1 2026 adjusted EPS of $1.95 (+13% YoY) and management's reiterated full-year guidance with improving credit performance expectations into 2027 support the forward earnings trajectory [1].</w:t>
      </w:r>
    </w:p>
    <w:p>
      <w:pPr>
        <w:spacing w:after="120"/>
      </w:pPr>
      <w:r>
        <w:rPr>
          <w:rFonts w:ascii="Calibri" w:hAnsi="Calibri"/>
          <w:b w:val="0"/>
          <w:color w:val="3A4A28"/>
          <w:sz w:val="20"/>
        </w:rPr>
        <w:t>The bear case centers on credit cycle risk and structural leverage. OMF's D/E ratio of 673% reflects the business model's dependence on wholesale funding markets — any dislocation in securitization or bond markets could impair the company's ability to originate loans at favorable economics. EPS growth of -5.9% in the trailing period and yfinance-reported revenue decline of -2.7% (though management reports 6-7% revenue growth in Q1-Q2 2026) suggest credit losses are compressing net income even as origination volume grows [1]. Non-prime lending is inherently cyclical — if unemployment rises above 5% or consumer credit deteriorates, charge-offs could accelerate beyond management's assumptions, driving significant earnings compression. Fintech competitors using AI-powered credit models (Upstart, SoFi, LendingClub) are expanding into non-prime lending with lower operating costs than OneMain's 1,300-branch network, creating long-term structural pressure on operating margins. The Inspire Impact Score of 38 (ALIGNED) is favorable for faith-based investors, but the ethical tension between 'responsible lending' and high APRs on non-prime borrowers warrants monitoring.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Management guidance for improving credit performance in H2 2026 and into 2027 could drive substantial earnings re-acceleration — if charge-offs normalize, the 7.08x forward P/E could expand toward the 10-12x range typical of well-performing consumer finance companies [1]</w:t>
      </w:r>
    </w:p>
    <w:p>
      <w:pPr>
        <w:spacing w:before="40" w:after="40"/>
        <w:ind w:left="283"/>
      </w:pPr>
      <w:r>
        <w:rPr>
          <w:rFonts w:ascii="Calibri" w:hAnsi="Calibri"/>
          <w:b/>
          <w:color w:val="4A6B25"/>
          <w:sz w:val="20"/>
        </w:rPr>
        <w:t xml:space="preserve">2. </w:t>
      </w:r>
      <w:r>
        <w:rPr>
          <w:rFonts w:ascii="Calibri" w:hAnsi="Calibri"/>
          <w:b w:val="0"/>
          <w:color w:val="3A4A28"/>
          <w:sz w:val="20"/>
        </w:rPr>
        <w:t>Auto finance and credit card expansion driving managed receivables portfolio growth beyond $26.1B, with credit cards offering higher-margin revolving balances that improve return on receivables [1]</w:t>
      </w:r>
    </w:p>
    <w:p>
      <w:pPr>
        <w:spacing w:before="40" w:after="40"/>
        <w:ind w:left="283"/>
      </w:pPr>
      <w:r>
        <w:rPr>
          <w:rFonts w:ascii="Calibri" w:hAnsi="Calibri"/>
          <w:b/>
          <w:color w:val="4A6B25"/>
          <w:sz w:val="20"/>
        </w:rPr>
        <w:t xml:space="preserve">3. </w:t>
      </w:r>
      <w:r>
        <w:rPr>
          <w:rFonts w:ascii="Calibri" w:hAnsi="Calibri"/>
          <w:b w:val="0"/>
          <w:color w:val="3A4A28"/>
          <w:sz w:val="20"/>
        </w:rPr>
        <w:t>Potential AI-driven underwriting improvements through CTO Larry Fitzpatrick's GenAI initiatives could reduce loss rates and operating costs, directly boosting EPS while maintaining the company's non-prime lending mission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deterioration risk — if unemployment rises significantly or consumer spending weakens, non-prime borrowers are the first segment to experience delinquency spikes, potentially driving charge-offs well above management's current assumptions and compressing the 25.9% profit margin [1]</w:t>
      </w:r>
    </w:p>
    <w:p>
      <w:pPr>
        <w:spacing w:before="40" w:after="40"/>
        <w:ind w:left="283"/>
      </w:pPr>
      <w:r>
        <w:rPr>
          <w:rFonts w:ascii="Calibri" w:hAnsi="Calibri"/>
          <w:b/>
          <w:color w:val="4A6B25"/>
          <w:sz w:val="20"/>
        </w:rPr>
        <w:t xml:space="preserve">2. </w:t>
      </w:r>
      <w:r>
        <w:rPr>
          <w:rFonts w:ascii="Calibri" w:hAnsi="Calibri"/>
          <w:b w:val="0"/>
          <w:color w:val="3A4A28"/>
          <w:sz w:val="20"/>
        </w:rPr>
        <w:t>Structural leverage risk with D/E of 673% creates sensitivity to funding market conditions — any disruption in securitization markets or rising borrowing costs could impair origination economics and squeeze net interest margin [4]</w:t>
      </w:r>
    </w:p>
    <w:p>
      <w:pPr>
        <w:spacing w:before="40" w:after="40"/>
        <w:ind w:left="283"/>
      </w:pPr>
      <w:r>
        <w:rPr>
          <w:rFonts w:ascii="Calibri" w:hAnsi="Calibri"/>
          <w:b/>
          <w:color w:val="4A6B25"/>
          <w:sz w:val="20"/>
        </w:rPr>
        <w:t xml:space="preserve">3. </w:t>
      </w:r>
      <w:r>
        <w:rPr>
          <w:rFonts w:ascii="Calibri" w:hAnsi="Calibri"/>
          <w:b w:val="0"/>
          <w:color w:val="3A4A28"/>
          <w:sz w:val="20"/>
        </w:rPr>
        <w:t>Fintech disruption as AI-powered lenders (Upstart, SoFi, LendingClub) expand into non-prime lending with lower-cost digital-first models, potentially eroding OneMain's branch-based competitive advantage and requiring investment in digital transformation to maintain market share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OneMain's core business of non-prime consumer lending through 1,300 physical branch locations involves deeply regulated credit operations, in-person customer interactions, complex underwriting requiring human judgment for non-prime borrowers, and compliance with federal and state lending regulations that AI cannot automate away [1]. The branch-based model creates switching costs and relationship-based lending that pure digital/AI platforms struggle to replicate for the non-prime segment, where borrower circumstances often require individualized assessment. AI will enhance OneMain's underwriting and collections efficiency rather than replace the business model. However, fintech lenders (Upstart, SoFi, LendingClub) are using AI-powered credit models to expand into non-prime lending, potentially eroding OneMain's branch advantage over time if AI credit scoring proves more accurate than traditional methods. AI Opportunity (0/1): While CTO Larry Fitzpatrick has discussed GenAI applications and the company likely uses AI in credit decisioning and fraud detection, no specific AI-generated revenue or quantified AI-driven cost savings have been publicly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OneMain Holdings Q1-Q2 2026 Earnings — Q2 Revenue $1.6B (+6%), Q1 Revenue $1.26B (+6.9%), Q1 Adj EPS $1.95, Managed Receivables $26.1B, 4M+ Accounts, Yahoo Finance / Investing.com / 247WallSt, May-August 2026</w:t>
      </w:r>
    </w:p>
    <w:p>
      <w:pPr>
        <w:spacing w:before="20" w:after="20"/>
        <w:ind w:left="170"/>
      </w:pPr>
      <w:r>
        <w:rPr>
          <w:rFonts w:ascii="Calibri" w:hAnsi="Calibri"/>
          <w:b/>
          <w:color w:val="4A6B25"/>
          <w:sz w:val="15"/>
        </w:rPr>
        <w:t xml:space="preserve">2. </w:t>
      </w:r>
      <w:r>
        <w:rPr>
          <w:rFonts w:ascii="Calibri" w:hAnsi="Calibri"/>
          <w:b w:val="0"/>
          <w:color w:val="3A4A28"/>
          <w:sz w:val="17"/>
        </w:rPr>
        <w:t>OneMain Financial Leadership and AI — CEO Doug Shulman Mission Focus, CTO Larry Fitzpatrick GenAI Strategy, Top 100 Most Loved Workplaces 2025, Glassdoor / Modus Create / Most Loved Workplace, 2025-2026</w:t>
      </w:r>
    </w:p>
    <w:p>
      <w:pPr>
        <w:spacing w:before="20" w:after="20"/>
        <w:ind w:left="170"/>
      </w:pPr>
      <w:r>
        <w:rPr>
          <w:rFonts w:ascii="Calibri" w:hAnsi="Calibri"/>
          <w:b/>
          <w:color w:val="4A6B25"/>
          <w:sz w:val="15"/>
        </w:rPr>
        <w:t xml:space="preserve">3. </w:t>
      </w:r>
      <w:r>
        <w:rPr>
          <w:rFonts w:ascii="Calibri" w:hAnsi="Calibri"/>
          <w:b w:val="0"/>
          <w:color w:val="3A4A28"/>
          <w:sz w:val="17"/>
        </w:rPr>
        <w:t>OneMain Holdings ESG — ESG Leadership Council, Board Oversight, Responsible Lending Framework, SEC DEF 14A Filings,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OMF Key Statistics: Price $60.81, Market Cap $7.0B, Forward P/E 7.08x, PEG 0.75, ROE 23.28%, D/E 673%, Dividend Yield 6.91%, Avg Volume 1.01M,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