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ONB</w:t>
      </w:r>
      <w:r>
        <w:rPr>
          <w:rFonts w:ascii="Calibri" w:hAnsi="Calibri"/>
          <w:b/>
          <w:color w:val="1A2010"/>
          <w:sz w:val="40"/>
        </w:rPr>
        <w:t xml:space="preserve">  Old National Bancorp</w:t>
      </w:r>
    </w:p>
    <w:p>
      <w:pPr>
        <w:spacing w:after="120"/>
      </w:pPr>
      <w:r>
        <w:rPr>
          <w:rFonts w:ascii="Calibri" w:hAnsi="Calibri"/>
          <w:b/>
          <w:color w:val="6E8450"/>
          <w:sz w:val="18"/>
        </w:rPr>
        <w:t>DIVIDEND SLEEVE · 2026-09-03 · Inspire: 29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NASDAQ · United States</w:t>
      </w:r>
    </w:p>
    <w:p>
      <w:pPr>
        <w:spacing w:after="80"/>
      </w:pPr>
      <w:r>
        <w:rPr>
          <w:rFonts w:ascii="Calibri" w:hAnsi="Calibri"/>
          <w:b w:val="0"/>
          <w:color w:val="3A4A28"/>
          <w:sz w:val="20"/>
        </w:rPr>
        <w:t>Old National Bancorp is a top-25 U.S. banking organization headquartered in Evansville, Indiana, providing commercial banking, wealth management, consumer banking, and treasury services across the Midwest and Southeast. Founded in 1834, the bank has grown through strategic acquisitions — including CapStar Financial Group (2022) and Bremer Financial Corporation (2024) — into a $56B+ asset institution with total loans of $50.8B and deposits of $56.1B. Q2 2026 delivered record results with revenue of $732.6M (+13% YoY) and net income of $249.4M (+105.5% YoY), driven by strong organic commercial loan origination and diversified fee income.</w:t>
      </w:r>
    </w:p>
    <w:p>
      <w:r>
        <w:rPr>
          <w:rFonts w:ascii="Calibri" w:hAnsi="Calibri"/>
          <w:b/>
          <w:color w:val="6E8450"/>
          <w:sz w:val="18"/>
        </w:rPr>
        <w:t>5,600 Employees · https://www.oldnational.com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ONB executed a transformative M&amp;A strategy over the past five years, acquiring CapStar Financial Group (2022) and Bremer Financial Corporation (2024) to more than double its asset base from ~$24B to $56B, catapulting from a mid-tier Midwest bank to a top-25 U.S. banking franchise [1]. The integration required replatforming operations and expanding into new metropolitan markets (Minneapolis-St. Paul, Milwaukee). AI Deployment (1/2): ONB partnered with Infosys in 2024 to accelerate operational and technological transformation, deploying automation across back-office functions, but no specific AI-powered products are shipping to customers and no quantified cost savings have been publicly disclosed [3]. Management has published thought leadership on agentic AI and fintech convergence but remains in the exploration phase. Market Share (1/2): ONB is now the largest bank headquartered in Indiana and a growing presence in Minneapolis-St. Paul and Milwaukee metro markets following the Bremer acquisition — a meaningful regional player but not a category leader in any specific banking product category [1]. Product Pipeline (0/2): No next-generation banking products with specific launch dates or revenue visibility have been announced; digital banking enhancements are incremental. R&amp;D Intensity (0/1): Banks do not typically disclose R&amp;D spending separately; ONB's technology investment via the Infosys partnership is notable but does not place it above peer average for the banking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Old National's culture is anchored in ethical banking — the company has been recognized by the Ethisphere Institute as one of the World's Most Ethical Companies for 10+ consecutive years, one of only a handful of U.S. banks ever to achieve this distinction [2]. CEO Jim Ryan has consistently emphasized that 'high ethical standards are the foundation of our culture,' and this commitment has shaped hiring, governance, and community engagement decisions. The mission is specific and thoughtful — clearly differentiated from generic shareholder-value language — but has not been tested through a transformative crisis in a way that elevates it to a validated Just Cause standard. Community Impact (1/2): Old National publishes annual ESG reports detailing community engagement, and the bank's Community Reinvestment Act performance supports lending and investment in underserved communities across its Midwest footprint [4]. However, no specific foundation dollar amounts or distinctive charitable programs with measurable outcomes were identified. Employee Retention (0/2): No publicly available voluntary turnover rates, average tenure data, or specific retention metrics were found. Insider Buying (0/2): Net insider selling in 2026 — Chief Legal Officer Nicholas Chulos sold 20,000 shares ($533K) and Wealth Management CEO Chady Alahmar sold 11,771 shares ($311K) in July 2026, both for estate planning purposes [5]. No evidence of meaningful net insider buying by senior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ONB demonstrates strong financial fundamentals with a conservative D/E of 21.11%, well below the 70% target, reflecting prudent capital management for a regional bank [6]. Profit margin of 27.7% exceeds the 20% target, driven by disciplined loan pricing and fee income diversification. Revenue growth YoY of 13% surpasses the 10% target, supported by organic commercial loan growth and the full integration of the Bremer franchise [1]. Forward P/E of 11.0x is well below the 20x target, indicating attractive valuation for a record-profitability bank. ROE of 10.18% is the primary drag, falling short of the 15% target — typical for well-capitalized regional banks with conservative leverage. Dividend metrics are mixed: payout ratio of 33% is below the 40% target and consecutive years paid (~20) is strong, but the 5-year dividend growth CAGR of only 2.4% is well below the 6% target, and consecutive years of growth (~5) fall short of the 10-year target. Liquidity floor easily cleared at ~$88.9M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Old National demonstrates genuine commitment to ethical banking and long-term community presence — the Ethisphere recognition for 10+ consecutive years and 192-year operating history signal an institution built to endure rather than optimize quarter-to-quarter. However, the company's growth strategy has been primarily acquisition-driven (CapStar 2022, Bremer 2024) rather than cause-driven, and there is limited evidence of the kind of transformative strategic flexibility or courageous counter-consensus decisions that define infinite game players. CEO Jim Ryan has effectively managed integration of major acquisitions, but the competitive posture remains conventional for a Midwest regional bank.</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Old National's commitment to ethical banking is genuine, distinctive, and partially lived — 10+ consecutive years of Ethisphere recognition as one of the World's Most Ethical Companies demonstrates sustained commitment to a specific standard that goes beyond generic corporate values [2]. CEO Jim Ryan consistently frames ethics as the company's competitive foundation. The 192-year operating history (founded 1834) demonstrates institutional resilience and multi-generational purpose. However, the mission has not been tested through a transformative crisis or strategic pivot where the cause clearly drove a costly decision against short-term interests.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ONB's Ethisphere recognition and CEO emphasis on ethical culture suggest an above-average organizational environment, and the bank's executive leadership has been stable through the CapStar and Bremer integrations [2]. The announcement of an 'Enhanced Executive Leadership Structure' in Q2 2026 suggests deliberate organizational development [1]. However, no specific employee empowerment data, voluntary turnover metrics, or cultural trust indicators were found. The rapid pace of acquisitions (two major integrations in three years) could create organizational stress that undermines trust-building.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ONB management referencing competitors as worthy rivals whose strengths drive self-improvement. The competitive posture appears conventional — focused on growing market share in the Midwest through acquisitions and organic expansion rather than explicitly learning from competitors' distinctive capabilities.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ONB has evolved significantly over five years — the CapStar and Bremer acquisitions transformed the bank from a ~$24B regional player to a top-25 U.S. bank with $56B in assets, entering new major metro markets (Minneapolis-St. Paul, Milwaukee) and expanding wealth management capabilities [1]. However, these were incremental extensions of the existing community banking model rather than transformative reinventions — the core business of relationship-based lending and deposit gathering remains fundamentally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Bremer Financial acquisition in 2024 was a bold strategic bet that significantly increased ONB's scale and geographic footprint at a time when many regional banks were pulling back from M&amp;A due to integration risk and regulatory scrutiny post-SVB [1]. CEO Jim Ryan's willingness to pursue transformative deals despite execution risk demonstrates conviction in the long-term strategy. However, no evidence was found of ONB making costly decisions that sacrificed near-term earnings for principled or mission-aligned reasons — acquisition-driven growth can be opportunistic rather than courageous.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Old National Bancorp at 11x forward earnings with a 2.98% dividend yield delivers record profitability — Q2 2026 revenue of $732.6M (+13% YoY) and net income of $249.4M (+105.5% YoY) demonstrate the Bremer integration is producing meaningful operating leverage [1]. Total loans reached $50.8B and deposits $56.1B, reflecting strong organic commercial growth alongside acquisition-driven scale. The conservative 33% payout ratio leaves ample room for dividend increases, and D/E of 21.11% signals balance sheet discipline. ROE of 10.18% is improving as integration synergies from Bremer and CapStar materialize, and the enhanced executive leadership structure positions the bank for continued operational gains. The Inspire Impact Score of 29 (ALIGNED) and 10+ years of Ethisphere recognition make ONB attractive for faith-based investors seeking regional banking exposure [2].</w:t>
      </w:r>
    </w:p>
    <w:p>
      <w:pPr>
        <w:spacing w:after="120"/>
      </w:pPr>
      <w:r>
        <w:rPr>
          <w:rFonts w:ascii="Calibri" w:hAnsi="Calibri"/>
          <w:b w:val="0"/>
          <w:color w:val="3A4A28"/>
          <w:sz w:val="20"/>
        </w:rPr>
        <w:t>The bear case centers on ONB's dependence on acquisition-driven growth and the execution risk inherent in integrating two major acquisitions within three years. ROE of 10.18% remains below the 15% industry benchmark for well-run banks, reflecting the dilutive impact of recent share issuance for M&amp;A and the cost of integrating overlapping operations [6]. Dividend growth has been anemic at only 2.4% CAGR over five years, well below inflation, suggesting limited commitment to growing payouts despite rising earnings. The Midwest geographic concentration creates credit risk tied to agricultural and manufacturing cycles, and a regional recession could stress the $50.8B loan book. Revenue growth of 13% YoY is heavily inflated by the Bremer acquisition — organic growth alone is likely mid-single-digits [1]. Innovation and technology adoption lag larger peers, with the Infosys partnership representing a catch-up play rather than a leadership position [3]. Net insider selling by senior executives in July 2026 despite record earnings raises questions about management conviction at current valuations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 realization of Bremer Financial integration synergies through 2026-2027, expected to drive ROE improvement toward 12-13% as cost savings materialize and redundant operations are eliminated across overlapping Midwest markets [1]</w:t>
      </w:r>
    </w:p>
    <w:p>
      <w:pPr>
        <w:spacing w:before="40" w:after="40"/>
        <w:ind w:left="283"/>
      </w:pPr>
      <w:r>
        <w:rPr>
          <w:rFonts w:ascii="Calibri" w:hAnsi="Calibri"/>
          <w:b/>
          <w:color w:val="4A6B25"/>
          <w:sz w:val="20"/>
        </w:rPr>
        <w:t xml:space="preserve">2. </w:t>
      </w:r>
      <w:r>
        <w:rPr>
          <w:rFonts w:ascii="Calibri" w:hAnsi="Calibri"/>
          <w:b w:val="0"/>
          <w:color w:val="3A4A28"/>
          <w:sz w:val="20"/>
        </w:rPr>
        <w:t>Organic commercial loan growth in newly entered Minneapolis-St. Paul and Milwaukee metro markets, where ONB's relationship banking model can capture share from larger competitors distracted by national priorities [1]</w:t>
      </w:r>
    </w:p>
    <w:p>
      <w:pPr>
        <w:spacing w:before="40" w:after="40"/>
        <w:ind w:left="283"/>
      </w:pPr>
      <w:r>
        <w:rPr>
          <w:rFonts w:ascii="Calibri" w:hAnsi="Calibri"/>
          <w:b/>
          <w:color w:val="4A6B25"/>
          <w:sz w:val="20"/>
        </w:rPr>
        <w:t xml:space="preserve">3. </w:t>
      </w:r>
      <w:r>
        <w:rPr>
          <w:rFonts w:ascii="Calibri" w:hAnsi="Calibri"/>
          <w:b w:val="0"/>
          <w:color w:val="3A4A28"/>
          <w:sz w:val="20"/>
        </w:rPr>
        <w:t>Potential dividend growth acceleration as integration costs subside and the 33% payout ratio leaves significant room for increases without straining capital ratios — analyst consensus price target of $27-$30 implies 6-17% upside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Integration execution risk from absorbing two major acquisitions (CapStar, Bremer) in three years — cultural misalignment, system consolidation delays, or customer attrition could erode projected synergies and suppress ROE recovery [1]</w:t>
      </w:r>
    </w:p>
    <w:p>
      <w:pPr>
        <w:spacing w:before="40" w:after="40"/>
        <w:ind w:left="283"/>
      </w:pPr>
      <w:r>
        <w:rPr>
          <w:rFonts w:ascii="Calibri" w:hAnsi="Calibri"/>
          <w:b/>
          <w:color w:val="4A6B25"/>
          <w:sz w:val="20"/>
        </w:rPr>
        <w:t xml:space="preserve">2. </w:t>
      </w:r>
      <w:r>
        <w:rPr>
          <w:rFonts w:ascii="Calibri" w:hAnsi="Calibri"/>
          <w:b w:val="0"/>
          <w:color w:val="3A4A28"/>
          <w:sz w:val="20"/>
        </w:rPr>
        <w:t>Credit quality deterioration in the Midwest commercial loan portfolio if agricultural commodity prices decline or manufacturing activity slows, given ONB's $50.8B loan book concentrated in cyclically sensitive Midwest industries [1]</w:t>
      </w:r>
    </w:p>
    <w:p>
      <w:pPr>
        <w:spacing w:before="40" w:after="40"/>
        <w:ind w:left="283"/>
      </w:pPr>
      <w:r>
        <w:rPr>
          <w:rFonts w:ascii="Calibri" w:hAnsi="Calibri"/>
          <w:b/>
          <w:color w:val="4A6B25"/>
          <w:sz w:val="20"/>
        </w:rPr>
        <w:t xml:space="preserve">3. </w:t>
      </w:r>
      <w:r>
        <w:rPr>
          <w:rFonts w:ascii="Calibri" w:hAnsi="Calibri"/>
          <w:b w:val="0"/>
          <w:color w:val="3A4A28"/>
          <w:sz w:val="20"/>
        </w:rPr>
        <w:t>Interest rate sensitivity as the Federal Reserve adjusts monetary policy — a rapid decline in rates could compress net interest margins (the majority of ONB's revenue), while prolonged high rates increase deposit competition from fintech and money market alternatives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Regional banking is structurally protected from AI disruption through multiple defensive layers — regulatory requirements (banking charters, FDIC insurance, Dodd-Frank compliance), high switching costs for depositors (direct deposit, auto-pay, linked accounts), and physical branch networks that serve relationship-based commercial and wealth clients [2]. ONB's core revenue streams — net interest income from commercial lending, treasury management, and wealth advisory — require human judgment, regulatory compliance, and trust-based relationships that AI cannot easily replicate. However, AI-driven neobanks and fintech platforms present incremental competitive pressure on commoditized consumer products (savings accounts, personal loans, payment processing), and AI-based credit decisioning could compress margins on standardized lending. Management has acknowledged AI introduces operational risk including automated decision-making errors and cyber vulnerabilities [3]. AI Opportunity (0/1): ONB does not generate quantifiable AI revenue. The Infosys partnership and internal AI exploration are focused on operational efficiency rather than revenue-generating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Old National Bancorp Q2 2026 Earnings Release — Record Revenue $732.6M (+13% YoY), Net Income $249.4M (+105.5%), EPS $0.65, Total Loans $50.8B, Deposits $56.1B, Enhanced Executive Leadership Structure, July 2026</w:t>
      </w:r>
    </w:p>
    <w:p>
      <w:pPr>
        <w:spacing w:before="20" w:after="20"/>
        <w:ind w:left="170"/>
      </w:pPr>
      <w:r>
        <w:rPr>
          <w:rFonts w:ascii="Calibri" w:hAnsi="Calibri"/>
          <w:b/>
          <w:color w:val="4A6B25"/>
          <w:sz w:val="15"/>
        </w:rPr>
        <w:t xml:space="preserve">2. </w:t>
      </w:r>
      <w:r>
        <w:rPr>
          <w:rFonts w:ascii="Calibri" w:hAnsi="Calibri"/>
          <w:b w:val="0"/>
          <w:color w:val="3A4A28"/>
          <w:sz w:val="17"/>
        </w:rPr>
        <w:t>Old National Bancorp Leadership and Culture — CEO Jim Ryan, Ethisphere World's Most Ethical Companies (10+ consecutive years), Corporate Ethics Foundation — OldNational.com, Ethisphere Institute, 2024-2026</w:t>
      </w:r>
    </w:p>
    <w:p>
      <w:pPr>
        <w:spacing w:before="20" w:after="20"/>
        <w:ind w:left="170"/>
      </w:pPr>
      <w:r>
        <w:rPr>
          <w:rFonts w:ascii="Calibri" w:hAnsi="Calibri"/>
          <w:b/>
          <w:color w:val="4A6B25"/>
          <w:sz w:val="15"/>
        </w:rPr>
        <w:t xml:space="preserve">3. </w:t>
      </w:r>
      <w:r>
        <w:rPr>
          <w:rFonts w:ascii="Calibri" w:hAnsi="Calibri"/>
          <w:b w:val="0"/>
          <w:color w:val="3A4A28"/>
          <w:sz w:val="17"/>
        </w:rPr>
        <w:t>Old National Bancorp AI and Technology Strategy — Infosys Operational Transformation Partnership, Agentic AI Thought Leadership — PRNewswire, OldNational.com, 2024-2026</w:t>
      </w:r>
    </w:p>
    <w:p>
      <w:pPr>
        <w:spacing w:before="20" w:after="20"/>
        <w:ind w:left="170"/>
      </w:pPr>
      <w:r>
        <w:rPr>
          <w:rFonts w:ascii="Calibri" w:hAnsi="Calibri"/>
          <w:b/>
          <w:color w:val="4A6B25"/>
          <w:sz w:val="15"/>
        </w:rPr>
        <w:t xml:space="preserve">4. </w:t>
      </w:r>
      <w:r>
        <w:rPr>
          <w:rFonts w:ascii="Calibri" w:hAnsi="Calibri"/>
          <w:b w:val="0"/>
          <w:color w:val="3A4A28"/>
          <w:sz w:val="17"/>
        </w:rPr>
        <w:t>Old National Bancorp 2023 ESG Report — Community Engagement, Governance, Sustainability, CRA Performance — GlobeNewsWire, April 2024</w:t>
      </w:r>
    </w:p>
    <w:p>
      <w:pPr>
        <w:spacing w:before="20" w:after="20"/>
        <w:ind w:left="170"/>
      </w:pPr>
      <w:r>
        <w:rPr>
          <w:rFonts w:ascii="Calibri" w:hAnsi="Calibri"/>
          <w:b/>
          <w:color w:val="4A6B25"/>
          <w:sz w:val="15"/>
        </w:rPr>
        <w:t xml:space="preserve">5. </w:t>
      </w:r>
      <w:r>
        <w:rPr>
          <w:rFonts w:ascii="Calibri" w:hAnsi="Calibri"/>
          <w:b w:val="0"/>
          <w:color w:val="3A4A28"/>
          <w:sz w:val="17"/>
        </w:rPr>
        <w:t>Old National Bancorp Insider Trading Activity — CLO N. Chulos sold 20,000 shares ($533K), WM CEO C. Alahmar sold 11,771 shares ($311K), July 2026 — StockTitan, TipRanks</w:t>
      </w:r>
    </w:p>
    <w:p>
      <w:pPr>
        <w:spacing w:before="20" w:after="20"/>
        <w:ind w:left="170"/>
      </w:pPr>
      <w:r>
        <w:rPr>
          <w:rFonts w:ascii="Calibri" w:hAnsi="Calibri"/>
          <w:b/>
          <w:color w:val="4A6B25"/>
          <w:sz w:val="15"/>
        </w:rPr>
        <w:t xml:space="preserve">6. </w:t>
      </w:r>
      <w:r>
        <w:rPr>
          <w:rFonts w:ascii="Calibri" w:hAnsi="Calibri"/>
          <w:b w:val="0"/>
          <w:color w:val="3A4A28"/>
          <w:sz w:val="17"/>
        </w:rPr>
        <w:t>StockAnalysis, GuruFocus, WallStreetZen — ONB Key Statistics: Forward P/E 11.0x, ROE 10.18%, Profit Margin 27.7%, D/E 21.11%, PEG 0.51, Stock Price $25.53, Dividend Yield 2.98%,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