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ONON</w:t>
      </w:r>
      <w:r>
        <w:rPr>
          <w:rFonts w:ascii="Calibri" w:hAnsi="Calibri"/>
          <w:b/>
          <w:color w:val="1A2010"/>
          <w:sz w:val="40"/>
        </w:rPr>
        <w:t xml:space="preserve">  On Holding AG</w:t>
      </w:r>
    </w:p>
    <w:p>
      <w:pPr>
        <w:spacing w:after="120"/>
      </w:pPr>
      <w:r>
        <w:rPr>
          <w:rFonts w:ascii="Calibri" w:hAnsi="Calibri"/>
          <w:b/>
          <w:color w:val="6E8450"/>
          <w:sz w:val="18"/>
        </w:rPr>
        <w:t>GROWTH SLEEVE · 2026-10-20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Footwear &amp; Accessories · NYQ · Switzerland</w:t>
      </w:r>
    </w:p>
    <w:p>
      <w:pPr>
        <w:spacing w:after="80"/>
      </w:pPr>
      <w:r>
        <w:rPr>
          <w:rFonts w:ascii="Calibri" w:hAnsi="Calibri"/>
          <w:b w:val="0"/>
          <w:color w:val="3A4A28"/>
          <w:sz w:val="20"/>
        </w:rPr>
        <w:t>On Holding, founded in 2010 in Zurich, designs and distributes performance running footwear, apparel, and accessories under the On brand, sold through wholesale, DTC, owned retail, and e-commerce channels globally. Q1 2026 delivered CHF 832M in net sales (+26.4% constant currency) with 21% adjusted EBITDA margin, and full-year 2026 guidance was raised to at least 23% constant-currency revenue growth with EBITDA margin of 19.5-20.0% [1]. The company returned to founder-led Co-CEO structure (David Allemann and Caspar Coppetti) in March 2026 and is scaling its LightSpray robotic manufacturing technology through a dedicated South Korea factory.</w:t>
      </w:r>
    </w:p>
    <w:p>
      <w:r>
        <w:rPr>
          <w:rFonts w:ascii="Calibri" w:hAnsi="Calibri"/>
          <w:b/>
          <w:color w:val="6E8450"/>
          <w:sz w:val="18"/>
        </w:rPr>
        <w:t>3,963 Employees · https://www.on.com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On's LightSpray robotic manufacturing platform — a novel 3D robotic-spray shoe construction process now scaling through a dedicated South Korea factory — represents genuine manufacturing innovation launched within the last five years, alongside a 7x revenue increase from CHF 425M (2020) to CHF 3.2B+ TTM through successful expansion into outdoor, training, tennis, and apparel categories [1][2]. AI Deployment (1/2): LightSpray increases robotics and automation in production with some AI-adjacent capabilities, but available research does not confirm explicitly AI-driven cost savings or AI-powered product features shipped to consumers. Market Share (2/2): On is explicitly taking market share from Nike and Adidas, backed by 26.4% constant-currency Q1 2026 revenue growth against a backdrop of flat-to-declining incumbent sales; APAC revenue surged 61.4% and DTC grew 28.7% [1][2]. Product Pipeline (1/2): Management referenced 'upcoming breakthrough innovations' and deliberately throttled wholesale sell-in to protect a 'clean runway' for launches, with apparel (+57.5% in Q1) a confirmed growth category, but specific next-gen product names and launch dates were not disclosed [1]. R&amp;D Intensity (0/1): No R&amp;D-to-revenue figure or peer comparison was found; gross margin of 64.8% reflects premium product positioning but is not direct R&amp;D data.</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On's stated purpose — to 'ignite the human spirit through movement' — is specific and thoughtful, connecting the brand to human flourishing beyond selling shoes, and is consistently reflected in product philosophy, founder messaging, and marketing since 2010 [2]. Founded by Olivier Bernhard (former Ironman champion), the mission has genuine roots in the joy of athletic performance. Community Impact (0/2): No evidence of a distinctive corporate foundation, charitable program, or community investment with specific dollar figures was found; sustainability efforts focus on material circularity and clean manufacturing rather than community philanthropy [3]. Employee Retention (0/2): No tenure or turnover data is available for On's roughly 4,000-person workforce; the March 2026 CEO transition is not evidence of retention strength or weakness absent broader data. Insider Buying (0/2): Founders and insiders hold 24.2% of shares, signaling long-term alignment, but no recent net insider buying by Co-CEOs or executives was identified to warrant the active-conviction metric.</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clears every core target: D/E of 29.4% is well under the 70% target (score 1.0), ROE of 23.95% exceeds the 15% target (score 1.0, 2x weight), revenue growth of 13.5% YoY exceeds the 10% target (score 1.0), and estimated 5yr revenue CAGR of ~35% far exceeds the 10% target (score 1.0, 2x weight) [1]. Forward P/E of 17.15x is below the 20x target (score 1.0), and Forward PEG of 0.56 is well under the 1.0 target (score 1.0, 2x weight). Profit margin of 12.3% is the only sub-target metric, scoring 0.615 (1x weight) against the 20% target. The balance sheet is net-cash positive: $1.24B cash against $562M debt. Weighted sum 9.62/10 = Infrastructure 10. Daily dollar volume of ~$337M ($35.41 x 9.5M shares) provides ample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On demonstrates genuine infinite-game instincts through willingness to accept near-term hits for long-term brand positioning — deliberately throttling wholesale sell-in and absorbing steep U.S. tariffs by investing in higher-margin innovation rather than cutting corners, decisions the market punished with a 19% single-day stock decline post-Q2 2026 [1]. The March 2026 return to founder-led Co-CEO structure (Allemann and Coppetti) reconnects strategic intent with execution. However, the company is young (founded 2010, IPO 2021) and its purpose has not been tested through a multi-decade cycle or existential crisis.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On's purpose to 'ignite the human spirit through movement' is genuine and service-oriented, founded by an Ironman champion and consistently reflected in product philosophy and brand identity [2]. The cause is distinctive, resilient (it transcends any single product), and inclusive. However, the company is only 16 years old and has not yet proven this cause survives a major crisis, economic downturn, or leadership transition — the multi-decade validation Sinek requires for a full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March 2026 return of founders David Allemann and Caspar Coppetti as Co-CEOs, explicitly framed as reconnecting founder-led vision with execution, is a constructive signal of organizational intentionality [2]. However, no employee tenure, turnover, or engagement data exists to confirm a high-trust culture, and the CEO transition itself introduces near-term organizational adjustment for 3,963 employees.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Coverage of On's growth is consistently framed as 'taking market share from legacy competitors such as Nike and Adidas' — a share-capture, win-lose framing rather than language about learning from or being sharpened by rivals' strengths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On has expanded from a running shoe company into a multi-category performance brand (apparel +57.5%, outdoor, training, tennis) while LightSpray manufacturing represents a genuine process innovation [1][2]. These are meaningful adaptations, but they extend rather than abandon the core athletic footwear/apparel model — incremental evolution rather than a transformative pivot.</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Management deliberately guided down near-term wholesale sell-in to protect a 'clean runway' for upcoming innovation launches, a decision that contributed to a 19% single-day stock decline after Q2 2026 earnings — a real, immediate cost accepted for long-term brand and product positioning [1]. Separately, facing 40% and 39% U.S. tariffs on Vietnam and Indonesia imports, leadership chose to invest in higher-priced innovative products to preserve margin rather than compromise manufacturing standards or quality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On Holding at $35.41 combines a compelling growth-plus-value profile: Q1 2026 delivered 26.4% constant-currency revenue growth to CHF 832M with 21% EBITDA margin, prompting management to raise full-year 2026 guidance to at least 23% constant-currency growth with EBITDA margin of 19.5-20.0% [1]. Forward P/E of 17.15x and PEG of 0.56 remain attractive for a company growing revenue at 20%+ with 65% gross margins and a net-cash balance sheet ($1.24B cash vs. $562M debt). ROE of 23.95% on just 29.4% D/E reflects capital-efficient growth, and the return of founders Allemann and Coppetti as Co-CEOs in March 2026 reconnects strategic vision with execution [2]. LightSpray robotic manufacturing scaling through a dedicated South Korea factory is a genuine process innovation that could further expand margins. APAC revenue (+61.4%) and apparel (+57.5%) demonstrate substantial runway for continued market share gains from Nike and Adidas [1].</w:t>
      </w:r>
    </w:p>
    <w:p>
      <w:pPr>
        <w:spacing w:after="120"/>
      </w:pPr>
      <w:r>
        <w:rPr>
          <w:rFonts w:ascii="Calibri" w:hAnsi="Calibri"/>
          <w:b w:val="0"/>
          <w:color w:val="3A4A28"/>
          <w:sz w:val="20"/>
        </w:rPr>
        <w:t>The bear case centers on valuation recovery risk and structural headwinds. The stock has rebounded 23% from its post-Q2 earnings low of ~$28.83, compressing the Forward PEG advantage, and at 23.6x trailing earnings On must sustain 20%+ growth to justify current multiples. Reported USD revenue growth of 13.5% materially trails the 26.4% constant-currency figure, exposing significant FX sensitivity to CHF/USD movements that could compress reported results [1]. U.S. tariffs of 40% (Vietnam) and 39% (Indonesia) on key manufacturing geographies represent a structural cost headwind requiring continuous premium pricing offset, a strategy vulnerable to consumer softness. The profit margin of 12.3% — while improving — is still below the 20% Infrastructure target, and the company remains unproven through a full economic cycle, having IPO'd in 2021 during a historically strong market for premium consumer brands. The greenwashing allegations flagged by IMD researchers regarding supply chain practices (underpaid workers, recyclability claims) introduce reputational risk for a brand whose premium pricing depends on aspirational positioning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LightSpray robotic manufacturing scaling through the new South Korea factory, potentially expanding gross margin beyond the current record 65.4% as automation reduces production costs and enables new product designs [2]</w:t>
      </w:r>
    </w:p>
    <w:p>
      <w:pPr>
        <w:spacing w:before="40" w:after="40"/>
        <w:ind w:left="283"/>
      </w:pPr>
      <w:r>
        <w:rPr>
          <w:rFonts w:ascii="Calibri" w:hAnsi="Calibri"/>
          <w:b/>
          <w:color w:val="4A6B25"/>
          <w:sz w:val="20"/>
        </w:rPr>
        <w:t xml:space="preserve">2. </w:t>
      </w:r>
      <w:r>
        <w:rPr>
          <w:rFonts w:ascii="Calibri" w:hAnsi="Calibri"/>
          <w:b w:val="0"/>
          <w:color w:val="3A4A28"/>
          <w:sz w:val="20"/>
        </w:rPr>
        <w:t>Continued APAC market expansion (+61.4% in Q1 2026) and apparel category growth (+57.5%) providing substantial revenue diversification runway beyond North American running shoes [1]</w:t>
      </w:r>
    </w:p>
    <w:p>
      <w:pPr>
        <w:spacing w:before="40" w:after="40"/>
        <w:ind w:left="283"/>
      </w:pPr>
      <w:r>
        <w:rPr>
          <w:rFonts w:ascii="Calibri" w:hAnsi="Calibri"/>
          <w:b/>
          <w:color w:val="4A6B25"/>
          <w:sz w:val="20"/>
        </w:rPr>
        <w:t xml:space="preserve">3. </w:t>
      </w:r>
      <w:r>
        <w:rPr>
          <w:rFonts w:ascii="Calibri" w:hAnsi="Calibri"/>
          <w:b w:val="0"/>
          <w:color w:val="3A4A28"/>
          <w:sz w:val="20"/>
        </w:rPr>
        <w:t>Full-year 2026 guidance raised to 23%+ constant-currency growth with EBITDA margin of 19.5-20.0%, with upside from 'breakthrough innovations' in the pipeline that management is protecting with deliberate wholesale sell-in management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Reported USD revenue growth of 13.5% materially trails the 26.4% constant-currency figure, exposing significant FX sensitivity that could compress reported results and valuation multiples if currency trends reverse [1]</w:t>
      </w:r>
    </w:p>
    <w:p>
      <w:pPr>
        <w:spacing w:before="40" w:after="40"/>
        <w:ind w:left="283"/>
      </w:pPr>
      <w:r>
        <w:rPr>
          <w:rFonts w:ascii="Calibri" w:hAnsi="Calibri"/>
          <w:b/>
          <w:color w:val="4A6B25"/>
          <w:sz w:val="20"/>
        </w:rPr>
        <w:t xml:space="preserve">2. </w:t>
      </w:r>
      <w:r>
        <w:rPr>
          <w:rFonts w:ascii="Calibri" w:hAnsi="Calibri"/>
          <w:b w:val="0"/>
          <w:color w:val="3A4A28"/>
          <w:sz w:val="20"/>
        </w:rPr>
        <w:t>U.S. tariffs of 40% (Vietnam) and 39% (Indonesia) on key manufacturing geographies require continuous premium pricing offsets, a strategy vulnerable to any softening in consumer willingness to pay for premium athletic products [2]</w:t>
      </w:r>
    </w:p>
    <w:p>
      <w:pPr>
        <w:spacing w:before="40" w:after="40"/>
        <w:ind w:left="283"/>
      </w:pPr>
      <w:r>
        <w:rPr>
          <w:rFonts w:ascii="Calibri" w:hAnsi="Calibri"/>
          <w:b/>
          <w:color w:val="4A6B25"/>
          <w:sz w:val="20"/>
        </w:rPr>
        <w:t xml:space="preserve">3. </w:t>
      </w:r>
      <w:r>
        <w:rPr>
          <w:rFonts w:ascii="Calibri" w:hAnsi="Calibri"/>
          <w:b w:val="0"/>
          <w:color w:val="3A4A28"/>
          <w:sz w:val="20"/>
        </w:rPr>
        <w:t>Greenwashing allegations from IMD researchers flagging supply chain issues (underpaid Vietnamese workers, distant recyclability goals) introduce reputational risk for a premium brand dependent on aspirational positioning, potentially eroding the pricing power that supports 65% gross margins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On's core business — designing, manufacturing, and selling physical performance footwear and apparel — is structurally insulated from generative AI substitution; no analyst commentary flagged AI disruption risk to athletic footwear demand, and the company's LightSpray robotic manufacturing investment is a production-efficiency asset rather than an AI vulnerability [2]. Physical materials science, manufacturing processes, and retail distribution cannot be replicated by AI tools. Some marketing, design iteration, and supply chain functions could adopt AI tools, but these enhance rather than threaten the business. AI Opportunity (0/1): No quantified AI-attributable revenue or cost savings were disclosed; LightSpray is described as robotics/automation rather than an explicit AI revenue driver.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On Holding Q1 2026 Results — CHF 832M Revenue (+26.4% cc), 21% EBITDA Margin, FY2026 Guidance Raised to 23%+ cc Growth, EBITDA 19.5-20.0% — FashionUnited, TIKR, SEC Filings, May 2026</w:t>
      </w:r>
    </w:p>
    <w:p>
      <w:pPr>
        <w:spacing w:before="20" w:after="20"/>
        <w:ind w:left="170"/>
      </w:pPr>
      <w:r>
        <w:rPr>
          <w:rFonts w:ascii="Calibri" w:hAnsi="Calibri"/>
          <w:b/>
          <w:color w:val="4A6B25"/>
          <w:sz w:val="15"/>
        </w:rPr>
        <w:t xml:space="preserve">2. </w:t>
      </w:r>
      <w:r>
        <w:rPr>
          <w:rFonts w:ascii="Calibri" w:hAnsi="Calibri"/>
          <w:b w:val="0"/>
          <w:color w:val="3A4A28"/>
          <w:sz w:val="17"/>
        </w:rPr>
        <w:t>On Holding Innovation and Leadership — Co-CEOs Allemann/Coppetti, LightSpray Manufacturing/South Korea Factory, U.S. Tariff Impact, Market Share Gains — CNBC, WWD, On Press Release, March-August 2026</w:t>
      </w:r>
    </w:p>
    <w:p>
      <w:pPr>
        <w:spacing w:before="20" w:after="20"/>
        <w:ind w:left="170"/>
      </w:pPr>
      <w:r>
        <w:rPr>
          <w:rFonts w:ascii="Calibri" w:hAnsi="Calibri"/>
          <w:b/>
          <w:color w:val="4A6B25"/>
          <w:sz w:val="15"/>
        </w:rPr>
        <w:t xml:space="preserve">3. </w:t>
      </w:r>
      <w:r>
        <w:rPr>
          <w:rFonts w:ascii="Calibri" w:hAnsi="Calibri"/>
          <w:b w:val="0"/>
          <w:color w:val="3A4A28"/>
          <w:sz w:val="17"/>
        </w:rPr>
        <w:t>On Holding ESG and Sustainability — IMD Greenwashing Case Study (Supply Chain Concerns), Non-Financial Matters Report 2023, Clean Motion Program — IMD.org, On Holding AG Annual Reports, 2023-2026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