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ONT</w:t>
      </w:r>
      <w:r>
        <w:rPr>
          <w:rFonts w:ascii="Calibri" w:hAnsi="Calibri"/>
          <w:b/>
          <w:color w:val="1A2010"/>
          <w:sz w:val="40"/>
        </w:rPr>
        <w:t xml:space="preserve">  Onterris, Inc.</w:t>
      </w:r>
    </w:p>
    <w:p>
      <w:pPr>
        <w:spacing w:after="120"/>
      </w:pPr>
      <w:r>
        <w:rPr>
          <w:rFonts w:ascii="Calibri" w:hAnsi="Calibri"/>
          <w:b/>
          <w:color w:val="6E8450"/>
          <w:sz w:val="18"/>
        </w:rPr>
        <w:t>GROWTH SLEEVE · 2026-10-14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Waste Management · NYSE · United States</w:t>
      </w:r>
    </w:p>
    <w:p>
      <w:pPr>
        <w:spacing w:after="80"/>
      </w:pPr>
      <w:r>
        <w:rPr>
          <w:rFonts w:ascii="Calibri" w:hAnsi="Calibri"/>
          <w:b w:val="0"/>
          <w:color w:val="3A4A28"/>
          <w:sz w:val="20"/>
        </w:rPr>
        <w:t>Onterris, Inc. (formerly Montrose Environmental Group, rebranded April 2026) operates as a global environmental solutions company providing assessment, permitting, emergency response, environmental testing, laboratory services, and remediation. The company serves oil and gas, utilities, government, industrial manufacturing, and renewable energy across the U.S., Australia, Canada, and internationally. Q2 2026 revenue was $186.7M with EBITDA margin expanding to 17.1%, but management lowered FY2026 guidance to $740M–$790M revenue and $117M–$120M adjusted EBITDA, citing weaker pass-through, emergency response, and regulatory waivers [1][2].</w:t>
      </w:r>
    </w:p>
    <w:p>
      <w:r>
        <w:rPr>
          <w:rFonts w:ascii="Calibri" w:hAnsi="Calibri"/>
          <w:b/>
          <w:color w:val="6E8450"/>
          <w:sz w:val="18"/>
        </w:rPr>
        <w:t>3,500 Employees · https://www.onterris.com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Onterris transformed from a niche environmental consultancy into a broader environmental solutions platform through multiple acquisitions, growing revenue from $544M in 2022 to $831M in 2025, and the patent-pending VeriPlume Capture System for methane emissions represents genuine product innovation [1][3]. The April 2026 rebrand from Montrose Environmental Group reflects the strategic evolution. AI Deployment (0/2): No AI-powered products shipping to customers and no quantified AI-driven cost savings or revenue reported. The company won the 2026 E+E Leader Award for Digital Transformation, but CEO Manthripragada acknowledged only recently hiring the company's first CTO to explore AI-powered data capture and predictive environmental intelligence [3][4]. Market Share (0/2): With ~$773M TTM revenue, Onterris is a mid-sized participant in the highly fragmented environmental services industry, well behind category leaders like Clean Harbors ($6B+) and Tetra Tech [2]. Product Pipeline (0/2): Management cut FY2026 guidance from $840M–$900M to $740M–$790M, citing regulatory waivers delaying air-testing work and weaker emergency response demand — the opposite of strong pipeline visibility [2]. R&amp;D Intensity (0/1): No R&amp;D spending data disclosed; as an environmental services business, investment is directed toward personnel and acquisitions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Onterris articulates a specific and thoughtful purpose — partnering with organizations to solve complex challenges where environmental pressures, regulatory expectations, and operational risks intersect — validated by SBTi-validated net-zero goals (February 2025) that embed environmental stewardship into the business model itself [1][4]. The April 2026 rebrand deliberately centered the company's identity around this environmental problem-solving mission. Community Impact (0/2): No evidence of distinctive charitable programs, foundation activity, or measurable community investment beyond core environmental services work. Employee Retention (0/2): CEO Vijay Manthripragada has led since 2015 (11+ years), demonstrating exceptional leadership continuity, but no broader employee tenure, voluntary turnover, or retention data is publicly available [5]. Insider Buying (2/2): Exceptional insider conviction — Director Peter Graham purchased 25,140 shares at ~$17.19 plus 4,860 shares at ~$15.94 ($519K total), and CFO Allan Dicks purchased 6,535 shares at $15.36 (~$100K), representing three buying transactions totaling 36,535 shares with zero insider sales in the prior three months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ROE of -2.39% falls below the 0% floor (score 0.0, 2x weight), reflecting ongoing GAAP losses despite $773M in TTM revenue [2]. Revenue growth YoY of -20.4% sits at the -20% floor (score 0.0), driven by $53.6M in non-recurring prior-year emergency response revenue and regulatory waivers delaying air-testing work [2]. Profit margin of -1.44% is negative (score 0.0), with Q1 2026 net loss of $12.7M [1]. D/E of 97.3% scores 0.88 on linear interpolation between 70% target and 300% floor, with $321M in long-term debt at a 2.8x leverage ratio [1]. Forward P/E of 8.19 scores a perfect 1.0, well below the 20 target [2]. The 5-year revenue CAGR of ~15% (reflecting acquisition-driven growth from $544M to $831M) also scores 1.0 with 2x weight. Forward PEG unavailable and excluded. Daily dollar volume of $9.4M ($13.28 x 708,711 shares) clears the $1M liquidity floor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Onterris demonstrates genuine purpose alignment through its environmental mission, SBTi-validated net-zero commitments, and strategic flexibility in transforming from Montrose Environmental into a broader solutions platform. CEO Manthripragada's 11+ year tenure provides leadership continuity through the rebrand and guidance cut, and management showed courage in honestly lowering expectations rather than chasing unrealistic targets. The competitive approach emphasizes differentiation through specialization rather than scale warfare against larger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Onterris has a genuine cause — solving complex environmental challenges at the intersection of environmental pressures, regulatory expectations, and operational risks, validated by SBTi-validated net-zero goals (February 2025) embedding environmental stewardship into the business model [1][4]. The April 2026 rebrand deliberately centered the company's identity around this purpose, and the VeriPlume Capture System demonstrates the cause translating into product innovation. However, the company was founded in 2012 and the cause has not been tested through decades of consistent execution or leadership transitions.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Vijay Manthripragada's 11-year tenure (since 2015) provides leadership stability through the company's growth phase, rebrand, and guidance cut [5]. The 3,500-employee organization emphasizes a safety-first culture and cross-disciplinary collaboration among chemists, engineers, toxicologists, and regulatory specialists [3]. However, no specific data on employee tenure, voluntary turnover, or exceptional trust indicators is publicly available, and Glassdoor reviews for the company under its former Montrose name were limited.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Onterris competes against significantly larger environmental services firms — Tetra Tech, AECOM, Clean Harbors — and management's response has been to differentiate through specialized capabilities, patent-pending innovations like VeriPlume, and scientific rigor at the intersection of complex regulatory challenges rather than attempting to out-scale competitors [1][3]. The company's positioning emphasizes expertise rather than dominance.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transformation from Montrose Environmental Group to Onterris represents meaningful strategic evolution — expanding from niche environmental consulting into a two-segment platform covering consulting/treatment and measurement/analysis through multiple acquisitions, growing revenue from $544M to $831M [1]. The rebrand and CTO hiring signal continued evolution toward technology-enabled services. However, this was incremental adjacent-market expansion through acquisitions rather than a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honestly cut FY2026 guidance from $840M–$900M to $740M–$790M rather than maintaining unrealistic targets, showing willingness to set credible expectations even at the cost of stock price impact [2]. CEO Manthripragada invested in hiring a CTO and CIO to build technology capabilities while the company remains unprofitable on a GAAP basis. However, the company's persistent inability to generate meaningful GAAP profits after a decade under current leadership, combined with $3.15M CEO compensation during ongoing losses, raises questions about capital allocation discipline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Onterris at $13.28 (down 37% from August highs) is an environmental services platform positioned to benefit from secular regulatory tailwinds including PFAS remediation mandates, methane emission controls, and tightening environmental standards. The forward P/E of 8.19x represents deep value if the company can deliver on its FY2026 guidance of $740M–$790M revenue and $117M–$120M adjusted EBITDA with margins expanding to ~15% [1][2]. Q2 2026 EBITDA margin of 17.1% demonstrated operational leverage, and the patent-pending VeriPlume Capture System positions the company at the intersection of environmental regulation and clean technology [3]. Insider buying of $619K by Director Graham and CFO Dicks at $15–$17 provides a conviction signal, with zero insider sales, and the SBTi-validated net-zero goals embed environmental purpose into the business model [4][5]. Physical environmental services are structurally immune to AI disruption.</w:t>
      </w:r>
    </w:p>
    <w:p>
      <w:pPr>
        <w:spacing w:after="120"/>
      </w:pPr>
      <w:r>
        <w:rPr>
          <w:rFonts w:ascii="Calibri" w:hAnsi="Calibri"/>
          <w:b w:val="0"/>
          <w:color w:val="3A4A28"/>
          <w:sz w:val="20"/>
        </w:rPr>
        <w:t>The bear case centers on persistent unprofitability and deteriorating fundamentals. Management cut FY2026 revenue guidance by $100M at the midpoint (to $740M–$790M from $840M–$900M), reflecting weaker emergency response demand, regulatory waivers delaying air-testing work, and reduced pass-through revenue [2]. The stock's 37% decline from $20.95 to $13.28 has rendered insider purchases at $15–$17 underwater. ROE of -2.39% and profit margin of -1.44% reflect continued GAAP losses despite $773M in TTM revenue, and the company carries $321M in debt with only $10M cash at a 2.8x leverage ratio [1][2]. Revenue growth of -20.4% YoY and earnings decline of -90.9% underscore the severity of the organic growth challenge once emergency response and acquisition contributions are stripped out. The 5-year revenue CAGR of 15% was driven entirely by acquisitions, and the acquisition pipeline is constrained by leverage. With no dividend and negative ROE, the investment case depends entirely on the company proving its environmental services platform can convert $800M+ in revenue into meaningful bottom-line profitability — a feat it has not yet accomplished in over a decade of operations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PFAS remediation mandates, methane emission regulations (addressed by patent-pending VeriPlume Capture System), and tightening EPA environmental standards create durable, politically resilient demand growth for Onterris's core consulting and remediation services [3][4]</w:t>
      </w:r>
    </w:p>
    <w:p>
      <w:pPr>
        <w:spacing w:before="40" w:after="40"/>
        <w:ind w:left="283"/>
      </w:pPr>
      <w:r>
        <w:rPr>
          <w:rFonts w:ascii="Calibri" w:hAnsi="Calibri"/>
          <w:b/>
          <w:color w:val="4A6B25"/>
          <w:sz w:val="20"/>
        </w:rPr>
        <w:t xml:space="preserve">2. </w:t>
      </w:r>
      <w:r>
        <w:rPr>
          <w:rFonts w:ascii="Calibri" w:hAnsi="Calibri"/>
          <w:b w:val="0"/>
          <w:color w:val="3A4A28"/>
          <w:sz w:val="20"/>
        </w:rPr>
        <w:t>EBITDA margin expansion to 17.1% in Q2 2026 demonstrates operational leverage — if full-year margins reach the guided 15%+ level, the forward P/E of 8.19x implies significant upside to a $13.28 stock price as GAAP earnings inflect toward profitability [1][2]</w:t>
      </w:r>
    </w:p>
    <w:p>
      <w:pPr>
        <w:spacing w:before="40" w:after="40"/>
        <w:ind w:left="283"/>
      </w:pPr>
      <w:r>
        <w:rPr>
          <w:rFonts w:ascii="Calibri" w:hAnsi="Calibri"/>
          <w:b/>
          <w:color w:val="4A6B25"/>
          <w:sz w:val="20"/>
        </w:rPr>
        <w:t xml:space="preserve">3. </w:t>
      </w:r>
      <w:r>
        <w:rPr>
          <w:rFonts w:ascii="Calibri" w:hAnsi="Calibri"/>
          <w:b w:val="0"/>
          <w:color w:val="3A4A28"/>
          <w:sz w:val="20"/>
        </w:rPr>
        <w:t>Deep value at 8.19x forward earnings with $619K in insider buying at $15–$17 (significantly above current price) signals leadership conviction that the guidance cut was a temporary headwind rather than structural deterioration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cut of $100M at the revenue midpoint (to $740M–$790M from $840M–$900M) reflects deteriorating organic growth trends and dependence on volatile emergency response revenue ($50M–$70M guided) that may not recur [2]</w:t>
      </w:r>
    </w:p>
    <w:p>
      <w:pPr>
        <w:spacing w:before="40" w:after="40"/>
        <w:ind w:left="283"/>
      </w:pPr>
      <w:r>
        <w:rPr>
          <w:rFonts w:ascii="Calibri" w:hAnsi="Calibri"/>
          <w:b/>
          <w:color w:val="4A6B25"/>
          <w:sz w:val="20"/>
        </w:rPr>
        <w:t xml:space="preserve">2. </w:t>
      </w:r>
      <w:r>
        <w:rPr>
          <w:rFonts w:ascii="Calibri" w:hAnsi="Calibri"/>
          <w:b w:val="0"/>
          <w:color w:val="3A4A28"/>
          <w:sz w:val="20"/>
        </w:rPr>
        <w:t>Persistent GAAP unprofitability with -2.39% ROE, -1.44% profit margin, and negative free cash flow of $17.2M in Q1, combined with $321M debt and only $10M cash at 2.8x leverage, constrains financial flexibility and raises balance sheet risk in a downturn [1][2]</w:t>
      </w:r>
    </w:p>
    <w:p>
      <w:pPr>
        <w:spacing w:before="40" w:after="40"/>
        <w:ind w:left="283"/>
      </w:pPr>
      <w:r>
        <w:rPr>
          <w:rFonts w:ascii="Calibri" w:hAnsi="Calibri"/>
          <w:b/>
          <w:color w:val="4A6B25"/>
          <w:sz w:val="20"/>
        </w:rPr>
        <w:t xml:space="preserve">3. </w:t>
      </w:r>
      <w:r>
        <w:rPr>
          <w:rFonts w:ascii="Calibri" w:hAnsi="Calibri"/>
          <w:b w:val="0"/>
          <w:color w:val="3A4A28"/>
          <w:sz w:val="20"/>
        </w:rPr>
        <w:t>Revenue growth of -20.4% YoY and -90.9% earnings decline expose the fragility of the acquisition-driven growth model — organic growth has proven elusive, and the company has yet to demonstrate its environmental platform can scale profitably without continuous M&amp;A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Onterris operates in physical-world environmental services — soil remediation, water treatment, air quality testing, hazardous waste response, PFAS remediation, and regulatory permitting — requiring on-site presence, specialized equipment, licensed professionals, and jurisdiction-specific regulatory expertise that AI structurally cannot replicate [1]. The VeriPlume Capture System for methane emissions, laboratory analysis requiring physical sample handling, and emergency response all involve fieldwork that is immune to AI substitution. PFAS remediation mandates and environmental regulation create durable demand unaffected by AI advances. Some consulting deliverables (report writing, environmental impact assessments) face moderate AI efficiency pressure on billing rates, preventing an IMMUNE rating of 9 [3]. AI Opportunity (0/1): No AI-related revenue generated. The E+E Leader Award for Digital Transformation and recent CTO hiring suggest nascent technology adoption, but no quantifiable AI-driven revenue or cost savings have been disclosed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Onterris Q1 2026 Earnings Release — Revenue $168.5M (-5.2% YoY), Adj EBITDA $17.8M (10.6% margin), Guidance Reiterated $840M-$900M — ir.onterris.com, April 2026</w:t>
      </w:r>
    </w:p>
    <w:p>
      <w:pPr>
        <w:spacing w:before="20" w:after="20"/>
        <w:ind w:left="170"/>
      </w:pPr>
      <w:r>
        <w:rPr>
          <w:rFonts w:ascii="Calibri" w:hAnsi="Calibri"/>
          <w:b/>
          <w:color w:val="4A6B25"/>
          <w:sz w:val="15"/>
        </w:rPr>
        <w:t xml:space="preserve">2. </w:t>
      </w:r>
      <w:r>
        <w:rPr>
          <w:rFonts w:ascii="Calibri" w:hAnsi="Calibri"/>
          <w:b w:val="0"/>
          <w:color w:val="3A4A28"/>
          <w:sz w:val="17"/>
        </w:rPr>
        <w:t>Onterris Q2 2026 Earnings and Guidance Cut — Revenue $186.7M, Adj EBITDA $31.9M (17.1% margin), FY2026 Guidance Lowered to $740M-$790M Revenue — Yahoo Finance/Investing.com, August 2026</w:t>
      </w:r>
    </w:p>
    <w:p>
      <w:pPr>
        <w:spacing w:before="20" w:after="20"/>
        <w:ind w:left="170"/>
      </w:pPr>
      <w:r>
        <w:rPr>
          <w:rFonts w:ascii="Calibri" w:hAnsi="Calibri"/>
          <w:b/>
          <w:color w:val="4A6B25"/>
          <w:sz w:val="15"/>
        </w:rPr>
        <w:t xml:space="preserve">3. </w:t>
      </w:r>
      <w:r>
        <w:rPr>
          <w:rFonts w:ascii="Calibri" w:hAnsi="Calibri"/>
          <w:b w:val="0"/>
          <w:color w:val="3A4A28"/>
          <w:sz w:val="17"/>
        </w:rPr>
        <w:t>CEO Vijay Manthripragada Interview: Building the Future of Environmental Solutions — CTO and CIO Hiring, VeriPlume Patent, Technology Strategy — onterris.com, 2026</w:t>
      </w:r>
    </w:p>
    <w:p>
      <w:pPr>
        <w:spacing w:before="20" w:after="20"/>
        <w:ind w:left="170"/>
      </w:pPr>
      <w:r>
        <w:rPr>
          <w:rFonts w:ascii="Calibri" w:hAnsi="Calibri"/>
          <w:b/>
          <w:color w:val="4A6B25"/>
          <w:sz w:val="15"/>
        </w:rPr>
        <w:t xml:space="preserve">4. </w:t>
      </w:r>
      <w:r>
        <w:rPr>
          <w:rFonts w:ascii="Calibri" w:hAnsi="Calibri"/>
          <w:b w:val="0"/>
          <w:color w:val="3A4A28"/>
          <w:sz w:val="17"/>
        </w:rPr>
        <w:t>Onterris 2026 E+E Leader Award for Innovation in Sustainability (Digital Transformation, Energy Innovation, Environmental Impact), SBTi-Validated Net-Zero Goals — FinancialContent/Company Website,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StockAnalysis/Simply Wall St/Yahoo Finance — ONT Key Statistics: Stock Price $13.28, Forward P/E 8.19, D/E 97.3%, Market Cap $466M, CEO Tenure 11yr, Insider Buying 36,535 shares ($619K)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