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OPCH</w:t>
      </w:r>
      <w:r>
        <w:rPr>
          <w:rFonts w:ascii="Calibri" w:hAnsi="Calibri"/>
          <w:b/>
          <w:color w:val="1A2010"/>
          <w:sz w:val="40"/>
        </w:rPr>
        <w:t xml:space="preserve">  Option Care Health, Inc.</w:t>
      </w:r>
    </w:p>
    <w:p>
      <w:pPr>
        <w:spacing w:after="120"/>
      </w:pPr>
      <w:r>
        <w:rPr>
          <w:rFonts w:ascii="Calibri" w:hAnsi="Calibri"/>
          <w:b/>
          <w:color w:val="6E8450"/>
          <w:sz w:val="18"/>
        </w:rPr>
        <w:t>GROWTH SLEEVE · 2026-09-15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NASDAQ · United States</w:t>
      </w:r>
    </w:p>
    <w:p>
      <w:pPr>
        <w:spacing w:after="80"/>
      </w:pPr>
      <w:r>
        <w:rPr>
          <w:rFonts w:ascii="Calibri" w:hAnsi="Calibri"/>
          <w:b w:val="0"/>
          <w:color w:val="3A4A28"/>
          <w:sz w:val="20"/>
        </w:rPr>
        <w:t>Option Care Health is the largest independent home and alternate site infusion services provider in the United States, delivering complex pharmaceutical therapies including immunoglobulin, anti-infective, nutrition support, bleeding disorder, and other specialty infusion treatments through a national network of pharmacies and infusion suites. The company served over 315,000 unique patients in 2025 and reported Q2 2026 revenue of $1.44B (+1.9% YoY) with adjusted EPS of $0.35. Headquartered in Bannockburn, Illinois.</w:t>
      </w:r>
    </w:p>
    <w:p>
      <w:r>
        <w:rPr>
          <w:rFonts w:ascii="Calibri" w:hAnsi="Calibri"/>
          <w:b/>
          <w:color w:val="6E8450"/>
          <w:sz w:val="18"/>
        </w:rPr>
        <w:t>7,000 Employees · https://www.optioncarehealth.com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Option Care grew revenue from $3.44B (2021) to $5.65B (2025), a 64% increase over four years driven by organic expansion and the secular site-of-care shift from hospital to home infusion [1]. Q2 2026 revenue of $1.44B (+1.9% YoY) showed slight improvement from Q1's 1.3% growth, with acute therapies growing high-single digits partially offset by a 600 basis point chronic inflammatory disease headwind [1][2]. The fundamental business model remains the same home infusion services — no transformative pivot. AI Deployment (1/2): The company selected Palantir's Foundry and AIP platform for enterprise-wide digital transformation to streamline processes, enhance clinical outcomes, and optimize operations — a real AI deployment with a credible technology partner [5]. The 10-K acknowledges competitive disadvantage risk if AI integration fails, but no quantified savings have been reported yet. Market Share (2/2): Option Care is the largest independent home and alternate site infusion provider in the U.S., serving 315,000+ unique patients in 2025 with a dominant national pharmacy network [1][3]. The structural shift from hospital-based to home infusion as payers push for lower-cost care settings continues to expand the addressable market. Product Pipeline (1/2): Acute revenue growing high-single digits and ambulatory infusion clinic expansion provide near-term growth visibility. Full-year 2026 revenue guidance of $5.675-5.775B and adjusted EPS guidance of $1.85-1.92 are maintained [2]. R&amp;D Intensity (0/1): Infusion services is operationally intensive rather than R&amp;D-intensive; the Palantir partnership represents technology investment but formal R&amp;D spending as a percentage of revenue is minimal.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Option Care Health's mission is to 'transform healthcare by providing innovative services that improve outcomes, reduce costs and deliver hope for patients and their families' [3]. This is specific and thoughtful — connecting the company's work to delivering hope beyond just medication administration, differentiating from hospital-centric peers through the home-based care model. The company has lived this mission through consistent expansion of home infusion access for 315,000+ patients annually. Community Impact (1/2): The company's ESG framework includes four pillars: environmental impact (green packaging, ride share programs), patient community care, employee empowerment through diversity and inclusion, and responsible enterprise management [3]. The core service inherently serves community health by enabling chronically ill patients to receive complex therapies at home. No specific charitable foundation dollar amounts identified. Employee Retention (1/2): CEO John Rademacher has led the company since 2018 (8+ year tenure), providing stable executive leadership through significant growth. CFO Meenal Sethna (October 2025, ex-Littelfuse) brings operational finance expertise [4]. The company employs 7,000+ teammates including 4,500 clinicians. Some employee reviews cite 'high turnover' as a concern, though others describe a 'high accountable and engaged culture' [4]. Insider Buying (1/2): In August 2025, multiple directors made meaningful purchases — board member Kraemer bought 36,000 shares ($977K), Sullivan 20,000 shares, Golding 1,000 shares, totaling approximately $1.6M in insider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weighting. ROE of 16.0% exceeds the 15% target (score: 1.0, 2x weight), reflecting improved capital efficiency as Q2 2026 showed stable execution [6]. Forward P/E of 11.52 is well below the 20 target (score: 1.0, 1x weight), and estimated PEG of ~1.2 is attractive (score: 0.9, 2x weight) [6]. D/E of 100.6% is above the 70% target (score: 0.87, 1x weight), reflecting legacy leverage. The 5-year revenue CAGR of approximately 10.5% ($3.44B to $5.67B) meets the growth target (score: 1.0, 2x weight). Revenue growth YoY of 1.9% reflects the CID headwind tempering what was 13% growth in FY2025 (score: 0.73, 1x weight). Profit margin of 3.68% remains the structural weakness — reflecting the distribution-intensive nature of specialty pharmacy (score: 0.18, 1x weight). Adjusted EBITDA guidance of $480-505M and adjusted EPS of $1.85-1.92 demonstrate solid earnings power. Weighted sum: 8.58/10.0 = 0.858 x 10 = 9. Liquidity floor easily cleared: ~$54.7M daily dollar volume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Option Care Health delivers essential healthcare services with a genuine patient-centered mission that has been lived out through consistent expansion of home infusion access to 315,000+ patients annually. CEO Rademacher's 8-year tenure provides stable leadership, and Q2 2026 results showed improved execution with revenue growth accelerating from Q1's 1.3% to 1.9%. However, the company's strategic orientation remains primarily operational and financial. Employee reviews cite a shift from 'patient-centered focus' to a 'bottom-line mentality' under private equity heritage, and the recent guidance cut plus securities law investigations tested the organization's commitment to purpose over profit.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Option Care's purpose — transforming healthcare by bringing complex infusion therapy to patients' homes, 'delivering hope' to patients and families — is genuine and connects the business to a meaningful healthcare outcome [3]. The company's consistent investment in expanding home infusion access (315,000+ patients served in 2025) shows the cause is partially lived. CEO Rademacher's 8-year tenure demonstrates commitment. However, employee reviews describe a shift from patient-centered focus to bottom-line mentality, and the company's private equity heritage means the cause was layered onto a financial structure rather than emerging organically.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Rademacher has provided stable leadership since 2018, and the orderly CFO transition to Meenal Sethna (October 2025) demonstrates organizational maturity [4]. The company employs 7,000+ teammates including 4,500 clinicians with a values framework emphasizing belonging and diverse perspectives. However, Glassdoor reviews reveal mixed sentiment — 3.0/5 for culture and values, with some reviews citing 'high turnover,' 'lack of career growth,' and a 'bottom-line mentality' replacing patient focus, while others describe positive transformation and an engaged culture [4]. The mixed signals suggest an adequate but not exceptional 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Option Care positions itself as the 'largest independent' infusion provider, emphasizing scale and market leadership as competitive advantages. No evidence in management commentary of acknowledging rivals' strengths (CVS Coram, Optum infusion services, PharMerica) or framing competition as motivation for self-improvement [1]. Q2 2026 earnings call emphasized market share gains and 'strong revenue growth' positioning rather than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2019 BioScrip merger was transformative, creating the largest independent home infusion provider from two complementary platforms [1]. The expansion from chronic to acute therapies (now growing high-single digits) and the buildout of ambulatory infusion clinics represent meaningful strategic evolution. The Palantir AI partnership shows willingness to adopt new technology. However, the core business model remains fundamentally the same — infusion pharmacy services — and growth is driven by industry tailwinds rather than self-directed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demonstrated transparent communication by proactively disclosing the $55M chronic inflammatory disease gross profit headwind and trimming 2026 revenue guidance from $5.8-6.0B to $5.675-5.775B rather than over-promising [1]. The company continues investing in clinic expansion and the Palantir technology partnership despite near-term margin pressure [5]. Maintaining adjusted EBITDA guidance of $480-505M while navigating the CID headwind shows disciplined cost management. However, no evidence of costly long-term bets that sacrifice near-term results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Option Care Health is the largest independent home infusion provider in the U.S. with ~$5.7B in annual revenue, now trading at an attractive 11.5x forward P/E after recovering from its early-2026 guidance cut [6]. Q2 2026 showed improving execution: revenue of $1.44B grew 1.9% YoY (accelerating from Q1's 1.3%), EPS of $0.35, and management maintained full-year adjusted EBITDA guidance of $480-505M and narrowed EPS to $1.85-1.92 [1][2]. The secular site-of-care shift — payers pushing infusion therapy from hospitals ($300+/hour) to home settings ($100-150/hour) — provides a structural tailwind with multiple years of runway. ROE of 16.0% demonstrates capital efficiency, and the 5-year revenue CAGR of 10.5% shows sustained growth execution despite the current CID headwind [6]. Acute therapies growing high-single digits offset chronic portfolio pressure, and the Palantir AI partnership positions the company for operational optimization. Director insider buying of approximately $1.6M in August 2025 signals board conviction [4].</w:t>
      </w:r>
    </w:p>
    <w:p>
      <w:pPr>
        <w:spacing w:after="120"/>
      </w:pPr>
      <w:r>
        <w:rPr>
          <w:rFonts w:ascii="Calibri" w:hAnsi="Calibri"/>
          <w:b w:val="0"/>
          <w:color w:val="3A4A28"/>
          <w:sz w:val="20"/>
        </w:rPr>
        <w:t>The bear case centers on thin margins, decelerating growth, and structural business model constraints. Revenue growth of 1.9% in Q2 2026 — while improving from Q1's 1.3% — represents a dramatic deceleration from FY2025's 13%, driven by the chronic inflammatory disease portfolio headwind expected to reduce gross profit by ~$55M in 2026 [1]. Profit margin of just 3.68% leaves almost no room for execution errors — drug pricing pressure, payer reimbursement cuts, or supply chain disruptions could quickly compress earnings [6]. D/E of 100.6% is elevated for a thin-margin healthcare services business, creating balance sheet vulnerability if earnings deteriorate. Employee reviews reveal mixed culture signals including 'high turnover' and concerns about a 'bottom-line mentality replacing patient-centered focus,' suggesting the company may be losing the very purpose that differentiates it [4]. Competition from CVS Coram and UnitedHealth's Optum brings scale advantages that could compress reimbursement rates. The Inspire Impact Score of 41 (ALIGNED) is a positive for faith-based investors, but the narrow margin profile limits the quality of the financial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site-of-care shift from hospital to home infusion driven by payer cost pressures and patient preference — high-single-digit acute therapy growth demonstrates the ongoing market expansion [1][2]</w:t>
      </w:r>
    </w:p>
    <w:p>
      <w:pPr>
        <w:spacing w:before="40" w:after="40"/>
        <w:ind w:left="283"/>
      </w:pPr>
      <w:r>
        <w:rPr>
          <w:rFonts w:ascii="Calibri" w:hAnsi="Calibri"/>
          <w:b/>
          <w:color w:val="4A6B25"/>
          <w:sz w:val="20"/>
        </w:rPr>
        <w:t xml:space="preserve">2. </w:t>
      </w:r>
      <w:r>
        <w:rPr>
          <w:rFonts w:ascii="Calibri" w:hAnsi="Calibri"/>
          <w:b w:val="0"/>
          <w:color w:val="3A4A28"/>
          <w:sz w:val="20"/>
        </w:rPr>
        <w:t>Revenue growth re-acceleration as the chronic inflammatory disease headwind anniversaries in late 2026, potentially returning to mid-to-high single-digit organic growth in FY2027 [1]</w:t>
      </w:r>
    </w:p>
    <w:p>
      <w:pPr>
        <w:spacing w:before="40" w:after="40"/>
        <w:ind w:left="283"/>
      </w:pPr>
      <w:r>
        <w:rPr>
          <w:rFonts w:ascii="Calibri" w:hAnsi="Calibri"/>
          <w:b/>
          <w:color w:val="4A6B25"/>
          <w:sz w:val="20"/>
        </w:rPr>
        <w:t xml:space="preserve">3. </w:t>
      </w:r>
      <w:r>
        <w:rPr>
          <w:rFonts w:ascii="Calibri" w:hAnsi="Calibri"/>
          <w:b w:val="0"/>
          <w:color w:val="3A4A28"/>
          <w:sz w:val="20"/>
        </w:rPr>
        <w:t>Palantir AI platform deployment reaching operational maturity — quantified cost savings or clinical outcome improvements could demonstrate margin expansion potential and re-rate the stock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Chronic inflammatory disease portfolio dynamics reducing 2026 gross profit by ~$55M, with potential for additional biosimilar-driven margin pressure in future years as more specialty therapies face competition [1]</w:t>
      </w:r>
    </w:p>
    <w:p>
      <w:pPr>
        <w:spacing w:before="40" w:after="40"/>
        <w:ind w:left="283"/>
      </w:pPr>
      <w:r>
        <w:rPr>
          <w:rFonts w:ascii="Calibri" w:hAnsi="Calibri"/>
          <w:b/>
          <w:color w:val="4A6B25"/>
          <w:sz w:val="20"/>
        </w:rPr>
        <w:t xml:space="preserve">2. </w:t>
      </w:r>
      <w:r>
        <w:rPr>
          <w:rFonts w:ascii="Calibri" w:hAnsi="Calibri"/>
          <w:b w:val="0"/>
          <w:color w:val="3A4A28"/>
          <w:sz w:val="20"/>
        </w:rPr>
        <w:t>Structurally thin 3.68% profit margin leaves minimal buffer — drug pricing pressure from payer reimbursement negotiations, pharmaceutical cost inflation, or operational disruptions could rapidly compress earnings [6]</w:t>
      </w:r>
    </w:p>
    <w:p>
      <w:pPr>
        <w:spacing w:before="40" w:after="40"/>
        <w:ind w:left="283"/>
      </w:pPr>
      <w:r>
        <w:rPr>
          <w:rFonts w:ascii="Calibri" w:hAnsi="Calibri"/>
          <w:b/>
          <w:color w:val="4A6B25"/>
          <w:sz w:val="20"/>
        </w:rPr>
        <w:t xml:space="preserve">3. </w:t>
      </w:r>
      <w:r>
        <w:rPr>
          <w:rFonts w:ascii="Calibri" w:hAnsi="Calibri"/>
          <w:b w:val="0"/>
          <w:color w:val="3A4A28"/>
          <w:sz w:val="20"/>
        </w:rPr>
        <w:t>Mixed employee sentiment with 'high turnover' concerns and cultural shift from patient-centered to bottom-line focus could erode clinical quality differentiation and increase operating costs through nurse recruitment spending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Home and alternate site infusion services are fundamentally physical-world healthcare delivery — registered nurses travel to patients' homes, mix and administer IV medications, monitor for adverse reactions, and manage complex therapy protocols [1][3]. AI cannot replace the hands-on clinical work of infusion nursing, the cold-chain pharmacy logistics, or the regulatory compliance (state pharmacy licensing, DEA-controlled substance handling) that underpin the business. The site-of-care shift trend from hospital to home is structurally driven by payer cost pressures and patient preference, not technology substitution. The 10-K acknowledges AI integration as an imperative but frames it as an efficiency opportunity, not a disruption threat [5]. AI Opportunity (0/1): The Palantir Foundry and AIP platform deployment for enterprise-wide digital transformation is in early stages with no quantified revenue contribution or cost savings yet reported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Option Care Health Q1 2026 Earnings — Net Revenue $1,350.7M (+1.3% YoY), EPS $0.29, Adjusted EBITDA $104.8M, Full-Year Guidance Trimmed to $5.675-5.775B Revenue, CID Headwind ~$55M Gross Profit Impact — SEC 8-K,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Option Care Health Q2 2026 Earnings — Revenue $1.44B (+1.9% YoY), EPS $0.35, Adjusted EPS Guidance Narrowed to $1.85-1.92, EBITDA Guidance Maintained $480-505M — TradingView,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Option Care Health Corporate Profile — Mission, ESG Framework (4 Pillars), 315,000+ Patients Served, National Pharmacy Network — optioncarehealth.com,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Option Care Health Leadership, Culture, and Insider Activity — CEO Rademacher (since 2018), CFO Sethna (Oct 2025), Director Buying ~$1.6M (Aug 2025), Glassdoor 3.0/5 Culture — SEC Form 4, Glassdoor,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Option Care Health Palantir AI Partnership — Enterprise-Wide Digital Transformation, Foundry and AIP Platform — 10-K Filing, Company Announcements</w:t>
      </w:r>
    </w:p>
    <w:p>
      <w:pPr>
        <w:spacing w:before="20" w:after="20"/>
        <w:ind w:left="170"/>
      </w:pPr>
      <w:r>
        <w:rPr>
          <w:rFonts w:ascii="Calibri" w:hAnsi="Calibri"/>
          <w:b/>
          <w:color w:val="4A6B25"/>
          <w:sz w:val="15"/>
        </w:rPr>
        <w:t xml:space="preserve">6. </w:t>
      </w:r>
      <w:r>
        <w:rPr>
          <w:rFonts w:ascii="Calibri" w:hAnsi="Calibri"/>
          <w:b w:val="0"/>
          <w:color w:val="3A4A28"/>
          <w:sz w:val="17"/>
        </w:rPr>
        <w:t>Yahoo Finance — OPCH Key Statistics: Forward P/E 11.52x, ROE 16.0%, D/E 100.6%, Profit Margin 3.68%, Stock Price $23.99, Avg Volume 2.28M,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