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OPK</w:t>
      </w:r>
      <w:r>
        <w:rPr>
          <w:rFonts w:ascii="Calibri" w:hAnsi="Calibri"/>
          <w:b/>
          <w:color w:val="1A2010"/>
          <w:sz w:val="40"/>
        </w:rPr>
        <w:t xml:space="preserve">  OPKO Health, Inc.</w:t>
      </w:r>
    </w:p>
    <w:p>
      <w:pPr>
        <w:spacing w:after="120"/>
      </w:pPr>
      <w:r>
        <w:rPr>
          <w:rFonts w:ascii="Calibri" w:hAnsi="Calibri"/>
          <w:b/>
          <w:color w:val="6E8450"/>
          <w:sz w:val="18"/>
        </w:rPr>
        <w:t>GROWTH SLEEVE · 2026-09-05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&amp; Diagnostics · NASDAQ · United States</w:t>
      </w:r>
    </w:p>
    <w:p>
      <w:pPr>
        <w:spacing w:after="80"/>
      </w:pPr>
      <w:r>
        <w:rPr>
          <w:rFonts w:ascii="Calibri" w:hAnsi="Calibri"/>
          <w:b w:val="0"/>
          <w:color w:val="3A4A28"/>
          <w:sz w:val="20"/>
        </w:rPr>
        <w:t>OPKO Health is a diversified healthcare company engaged in diagnostics and pharmaceuticals, operating in more than 30 countries. Subsidiaries include BioReference Health (clinical laboratory testing), OPKO Biologics (pharmaceutical development), and ModeX Therapeutics (multi-specific antibody platform). The company raised full-year 2026 revenue guidance to $560-585M. Q2 2026 revenue of $163.6M grew 4.3% YoY with net loss narrowing 94% to $0.011/share. Led by Chairman and CEO Dr. Phillip Frost since 2007. Market cap approximately $1.04B.</w:t>
      </w:r>
    </w:p>
    <w:p>
      <w:r>
        <w:rPr>
          <w:rFonts w:ascii="Calibri" w:hAnsi="Calibri"/>
          <w:b/>
          <w:color w:val="6E8450"/>
          <w:sz w:val="18"/>
        </w:rPr>
        <w:t>5,000 Employees · https://www.opko.com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Regeneron collaboration announced in 2025, valued at $1B+ with milestone payments exceeding $200M per program, validates OPKO's drug development capabilities through its ModeX multi-specific antibody platform [1]. However, BioReference's diagnostics business has contracted post-COVID and no transformative product launches or business model pivots have occurred in the last 5 years — the oncology assets were sold to Labcorp, shrinking the company rather than expanding it. AI Deployment (0/2): No AI products, AI-powered diagnostic tools, or quantified AI-driven savings have been reported despite industry peers increasingly adopting AI in drug discovery and diagnostic analysis [2]. Market Share (0/2): Not a market leader in any segment — BioReference is a mid-tier clinical laboratory and the pharmaceutical pipeline remains early-stage, competing against much larger diagnostic and pharma companies. Product Pipeline (1/2): Regeneron collaboration programs and the OPK8801001 preclinical candidate suggest active R&amp;D, but timelines remain vague and commercialization is years away [1]. R&amp;D Intensity (1/1): R&amp;D spending of approximately $125-135M against guided revenue of $560-585M represents ~22-24% R&amp;D intensity, well above healthcare industry averages and reflecting commitment to pipeline development despite losses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OPKO's mission focuses on improving patient outcomes through innovative diagnostics and treatments, connecting healthcare work to patient welfare [2]. The mission is clear for a healthcare company but not distinctively articulated — interchangeable with many pharma and diagnostic peers, lacking a transformative vision that differentiates from industry standard positioning. Community Impact (0/2): No evidence of distinctive community investment programs, charitable foundations, or philanthropic initiatives was found beyond standard corporate operations. Employee Retention (1/2): Dr. Phillip Frost has led the company since 2007 (18+ years) and the senior management team averages 9.9 years of tenure, with members formerly from NIH and Sanofi [2]. This long-tenured leadership signals stability at the executive level, though no company-wide retention data or employee satisfaction metrics are available. Insider Buying (1/2): Dr. Frost directly owns 31.23% of OPKO shares worth approximately $350M+ at current prices, representing massive insider alignment with shareholders [2]. While this reflects existing ownership rather than recent net buying, the magnitude of personal capital at risk signals genuine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balance sheet is the bright spot with D/E of 34%, well below the 70% target (scoring 1.0) [4]. However, profitability metrics are deeply distressed: ROE of -17.14% and profit margin of -37.19% both score 0.0 as they sit below their respective floors [4]. Revenue trajectory shows improvement — Q2 2026 revenue of $163.6M grew 4.3% YoY and OPKO raised 2026 guidance to $560-585M [1] — but full-year 2026 revenue at the guided midpoint of $572.5M still represents approximately a 5% decline from FY2025's $607M. Revenue 5-year CAGR of approximately -3% reflects the post-COVID revenue cliff from peak testing volumes. Forward P/E and PEG are unavailable due to unprofitability, reducing the scoring base. The Q2 loss narrowing 94% to $0.011/share (from $0.19 loss in Q2 2025) suggests a potential inflection point [1]. Liquidity floor cleared with approximately $4.9M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OPKO under Dr. Phillip Frost operates as a diversified healthcare holding company focused on value creation through a portfolio approach rather than a unified long-term purpose. The company's strategy — maintaining diagnostics, pharmaceuticals, and biotech investments across multiple therapeutic areas — reflects a serial entrepreneur's approach rather than a purpose-driven organization built to endure. The 2018 SEC settlement and ongoing financial losses undermine claims of long-term, mission-driven leadership. The recent improvement in Q2 2026 profitability is encouraging but does not yet demonstrate a strategic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OPKO's healthcare mission of improving patient lives exists but reads as a standard pharmaceutical company positioning rather than a deeply held Just Cause [2]. The company's diversified structure spanning clinical labs, pharma development, and multiple therapeutic areas suggests a conglomerate approach to value creation rather than a unified purpose. Dr. Frost's career as a serial healthcare entrepreneur reflects business-building skill rather than dedication to a specific transformative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long-tenured senior leadership team with members from NIH and Sanofi and an average tenure of 9.9 years suggests organizational stability at the executive level [2]. CEO Dr. Frost's 18+ year tenure provides leadership continuity. However, Glassdoor reviews describe the CEO as 'too old-school in leadership' with 'lack of communication with management,' suggesting top-down management style rather than psychological safety [2]. The 2018 SEC lawsuit naming both OPKO and Frost creates a governance credibility question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OPKO's public communications focus on its own pipeline and partnerships (Regeneron, Pfizer, NIH) rather than acknowledging or learning from competitors' strengths. The diversified conglomerate structure makes it difficult to identify a clear competitive frame of reference or evidence of using competitors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OPKO has maintained a broadly similar business structure for years — diagnostics plus pharmaceutical development — without meaningful strategic transformation. The sale of oncology assets to Labcorp in 2025 was a contraction driven by financial necessity rather than a visionary pivot. The post-COVID revenue decline from BioReference has not triggered a strategic reinvention; the company continues to invest in R&amp;D while the core business contracts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$125-135M in annual R&amp;D spending (22-24% of revenue) despite ongoing losses and revenue contraction demonstrates some willingness to invest in long-term pharmaceutical capability [1]. The Regeneron collaboration reflects strategic ambition. However, the company's financial position — persistent unprofitability with -37% profit margins — raises questions about whether continued R&amp;D investment reflects courage or an inability to achieve operational discipline and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OPKO Health's bull case rests on a potential profitability inflection — Q2 2026 net loss narrowed 94% to just $0.011/share from $0.19/share a year earlier, and management raised 2026 revenue guidance to $560-585M [1]. The Regeneron collaboration ($1B+ potential with $200M+ milestones per program) validates the ModeX multi-specific antibody platform. Dr. Frost's 31.23% personal ownership signals genuine alignment, and at $1.04B market cap the stock trades at less than 2x guided revenue, providing significant upside if pipeline programs succeed or the company reaches profitability [4]. D/E of only 34% provides balance sheet flexibility, and the Inspire Impact Score of 37 (ALIGNED) with nine positive attributions makes this accessible to faith-based healthcare investors.</w:t>
      </w:r>
    </w:p>
    <w:p>
      <w:pPr>
        <w:spacing w:after="120"/>
      </w:pPr>
      <w:r>
        <w:rPr>
          <w:rFonts w:ascii="Calibri" w:hAnsi="Calibri"/>
          <w:b w:val="0"/>
          <w:color w:val="3A4A28"/>
          <w:sz w:val="20"/>
        </w:rPr>
        <w:t>The bear case remains compelling despite Q2 improvement. OPKO has been a perpetual value-destruction story — the stock trades at $1.39 after years of decline, and TTM losses of $225.68M at a -37.19% profit margin continue to erode the balance sheet [4]. Full-year 2026 revenue is still expected to decline approximately 5% from FY2025, continuing a multi-year contraction from $713M in FY2024 driven by the BioReference oncology divestiture and post-COVID volume normalization [1]. The 2018 SEC lawsuit settlement (naming both OPKO and CEO Frost) and a $704K False Claims Act settlement create persistent governance concerns [3]. The diversified conglomerate structure lacks strategic focus, spreading limited resources across diagnostics and pharma without achieving market leadership in either. R&amp;D spending of $125-135M annually against a shrinking revenue base threatens long-term viability if pipeline milestones are not achieved.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net loss narrowing 94% to $0.011/share suggests a potential profitability inflection point if revenue stabilization continues in H2 2026 and cost discipline holds [1]</w:t>
      </w:r>
    </w:p>
    <w:p>
      <w:pPr>
        <w:spacing w:before="40" w:after="40"/>
        <w:ind w:left="283"/>
      </w:pPr>
      <w:r>
        <w:rPr>
          <w:rFonts w:ascii="Calibri" w:hAnsi="Calibri"/>
          <w:b/>
          <w:color w:val="4A6B25"/>
          <w:sz w:val="20"/>
        </w:rPr>
        <w:t xml:space="preserve">2. </w:t>
      </w:r>
      <w:r>
        <w:rPr>
          <w:rFonts w:ascii="Calibri" w:hAnsi="Calibri"/>
          <w:b w:val="0"/>
          <w:color w:val="3A4A28"/>
          <w:sz w:val="20"/>
        </w:rPr>
        <w:t>Regeneron collaboration milestone payments exceeding $200M per program could provide transformative non-dilutive capital and pipeline validation over the next 2-3 years [1]</w:t>
      </w:r>
    </w:p>
    <w:p>
      <w:pPr>
        <w:spacing w:before="40" w:after="40"/>
        <w:ind w:left="283"/>
      </w:pPr>
      <w:r>
        <w:rPr>
          <w:rFonts w:ascii="Calibri" w:hAnsi="Calibri"/>
          <w:b/>
          <w:color w:val="4A6B25"/>
          <w:sz w:val="20"/>
        </w:rPr>
        <w:t xml:space="preserve">3. </w:t>
      </w:r>
      <w:r>
        <w:rPr>
          <w:rFonts w:ascii="Calibri" w:hAnsi="Calibri"/>
          <w:b w:val="0"/>
          <w:color w:val="3A4A28"/>
          <w:sz w:val="20"/>
        </w:rPr>
        <w:t>Raised 2026 revenue guidance to $560-585M (from prior $530-560M) indicates management confidence in the post-divestiture revenue base stabilizing and potentially returning to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guidance of $560-585M still represents approximately a 5% decline from FY2025's $607M, and the company's cost structure has historically generated $165-220M in annual losses [1]</w:t>
      </w:r>
    </w:p>
    <w:p>
      <w:pPr>
        <w:spacing w:before="40" w:after="40"/>
        <w:ind w:left="283"/>
      </w:pPr>
      <w:r>
        <w:rPr>
          <w:rFonts w:ascii="Calibri" w:hAnsi="Calibri"/>
          <w:b/>
          <w:color w:val="4A6B25"/>
          <w:sz w:val="20"/>
        </w:rPr>
        <w:t xml:space="preserve">2. </w:t>
      </w:r>
      <w:r>
        <w:rPr>
          <w:rFonts w:ascii="Calibri" w:hAnsi="Calibri"/>
          <w:b w:val="0"/>
          <w:color w:val="3A4A28"/>
          <w:sz w:val="20"/>
        </w:rPr>
        <w:t>SEC settlement (2018) involving CEO Dr. Frost and a $704K False Claims Act settlement for medically unnecessary blood tests at BioReference create governance and compliance risks that may limit institutional investor interest [3]</w:t>
      </w:r>
    </w:p>
    <w:p>
      <w:pPr>
        <w:spacing w:before="40" w:after="40"/>
        <w:ind w:left="283"/>
      </w:pPr>
      <w:r>
        <w:rPr>
          <w:rFonts w:ascii="Calibri" w:hAnsi="Calibri"/>
          <w:b/>
          <w:color w:val="4A6B25"/>
          <w:sz w:val="20"/>
        </w:rPr>
        <w:t xml:space="preserve">3. </w:t>
      </w:r>
      <w:r>
        <w:rPr>
          <w:rFonts w:ascii="Calibri" w:hAnsi="Calibri"/>
          <w:b w:val="0"/>
          <w:color w:val="3A4A28"/>
          <w:sz w:val="20"/>
        </w:rPr>
        <w:t>Stock price of $1.39 with persistent unprofitability makes OPKO a speculative biotech bet — pipeline failure or delayed milestones could trigger further equity dilution to fund ongoing operations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OPKO's BioReference clinical laboratory business has meaningful structural protection — clinical lab testing requires physical sample collection, wet-lab processing, CLIA-certified infrastructure, and regulatory compliance that AI cannot replace [2]. However, AI-powered diagnostic tools and AI-driven pathology analysis are increasingly supplementing traditional lab workflows, creating competitive pressure from digital-native diagnostic platforms. The pharmaceutical development business is better protected, as drug discovery and clinical trials involve physical, biological, and regulatory processes with high barriers, though AI-native drug developers using machine learning for target identification are creating competitive pressure in early discovery phases [2]. AI Opportunity (0/1): No AI-related revenue or AI-powered products have been deployed. OPKO has not reported AI-driven cost savings despite industry trends toward AI-enabled drug discovery and diagnostic automation.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OPKO Health Q2 2026 Business Highlights and Financial Results — Revenue $163.6M (+4.3%), Net Loss Narrowing 94%, 2026 Guidance Raised to $560-585M — opko.com,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OPKO Health Corporate Leadership, Culture, and AI Risk — CEO Dr. Phillip Frost (18+ yr tenure), Management Team 9.9yr Average Tenure, Glassdoor Reviews, AI Strategy — opko.com, Simply Wall St,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OPKO Health Governance Controversies — SEC Lawsuit Settlement 2018-2019, False Claims Act $704K Settlement, Board Diversity Lawsuit — DOJ, D&amp;O Diary, Wikipedia, 2018-2023</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Simply Wall St — OPK Key Statistics: Stock Price $1.39, D/E 34%, ROE -17.14%, Profit Margin -37.19%, Avg Volume 3.55M, Market Cap $1.04B,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