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ORC</w:t>
      </w:r>
      <w:r>
        <w:rPr>
          <w:rFonts w:ascii="Calibri" w:hAnsi="Calibri"/>
          <w:b/>
          <w:color w:val="1A2010"/>
          <w:sz w:val="40"/>
        </w:rPr>
        <w:t xml:space="preserve">  Orchid Island Capital, Inc.</w:t>
      </w:r>
    </w:p>
    <w:p>
      <w:pPr>
        <w:spacing w:after="120"/>
      </w:pPr>
      <w:r>
        <w:rPr>
          <w:rFonts w:ascii="Calibri" w:hAnsi="Calibri"/>
          <w:b/>
          <w:color w:val="6E8450"/>
          <w:sz w:val="18"/>
        </w:rPr>
        <w:t>DIVIDEND SLEEVE · 2026-10-16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Orchid Island Capital is an externally managed specialty finance company that invests on a leveraged basis in Agency residential mortgage-backed securities (RMBS) guaranteed by Fannie Mae, Freddie Mac, and Ginnie Mae. The company is managed by Bimini Advisors, LLC. Q2 2026 showed a strong recovery with EPS of $0.44 (vs -$0.11 Q1 loss), book value per share of $7.22, and total return of 6.2%. Average portfolio size grew to $11.4B. Monthly dividend was reduced from $0.12 to $0.10 in April 2026, continuing a chronic pattern of distribution cuts. The company has no direct employees.</w:t>
      </w:r>
    </w:p>
    <w:p>
      <w:r>
        <w:rPr>
          <w:rFonts w:ascii="Calibri" w:hAnsi="Calibri"/>
          <w:b/>
          <w:color w:val="6E8450"/>
          <w:sz w:val="18"/>
        </w:rPr>
        <w:t>https://www.orchidislandcapital.com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Orchid Island Capital has not launched any new products, executed business model transformations, or made strategic pivots in the last 5 years. The company has operated the same Agency RMBS leveraged investment strategy since its 2013 IPO [1]. AI Deployment (0/2): No AI deployment or strategy. ORC is a small, externally managed mortgage REIT with no technology development capabilities [2]. Market Share (0/2): ORC is a commodity participant in a crowded field of Agency RMBS investors including much larger players like AGNC ($8B+) and NLY ($10B+), with no meaningful market share differentiation [1]. Pipeline (0/2): No next-generation products, services, or strategic initiatives beyond continuing to invest in Agency RMBS [2]. R&amp;D Intensity (0/1): Zero R&amp;D investment. ORC is a financial vehicle, not an operating company with product development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Orchid Island Capital has no mission, purpose, or vision statement on its website or in public materials. The company exists to generate current income and capital appreciation for shareholders — a purely financial objective with no articulation of broader purpose [2]. Community Impact (0/2): No charitable programs, foundation, or community investment identified. ORC is a financial vehicle with no employees (externally managed by Bimini Advisors) and no community presence [2]. Employee Retention (0/2): ORC has no direct employees — it is externally managed by Bimini Advisors. There is no workforce to evaluate for retention or culture [2]. Insider Buying (0/2): No evidence of meaningful net insider buying by Chairman/CEO Robert Cauley or directors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dividend-weighted metrics with revenue growth excluded (null). D/E of 770% scores 0 — extreme leverage inherent in the mREIT model (7.9:1 leverage ratio), though the underlying Agency RMBS carry implicit government guarantees [1]. ROE of 20.8% exceeds the 15% target (score 1.0), reflecting the leveraged return structure [4]. Forward P/E of 4.93 is deep value (score 1.0), reflecting market skepticism about earnings durability given Q1's loss followed by Q2's strong recovery [4]. Profit margin of 90.6% far exceeds the 20% target (score 1.0) [4]. Payout ratio of ~84% scores 0.26 — improved from prior 116% thanks to strong Q2 earnings but still elevated [3]. Consecutive years paid since 2013 (13 years) provides stability credit (score 1.0, 2x weight). Consecutive years growth: 0 — dividends have been cut repeatedly (from $0.14/month peak to current $0.10/month), scoring 0. 5-year dividend growth CAGR of -18.7% scores 0 (2x weight) — the chronic distribution erosion is the defining Infrastructure weakness [3]. Stock trades at 28% discount to book value ($5.18 vs $7.22). Liquidity cleared at ~$28.1M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Orchid Island Capital is the archetypal finite player — it exists solely to extract yield from the spread between RMBS returns and short-term borrowing costs. There is no Just Cause, no vision of a better future, no employees to build trust with, and no strategic evolution since founding in 2013. The externally managed structure with management fees paid to Bimini Advisors creates misaligned incentives where management benefits from growing assets under management regardless of shareholder returns. The repeated dividend cuts (from $0.14/month peak to $0.10/month currently) while maintaining extreme leverage epitomize finite thinking — optimizing current yield over long-term value creation [1].</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ORC has no articulated purpose beyond generating income for shareholders through RMBS spread investing. There is no vision statement, no cause, and no reason for the company to exist other than financial intermediation [2]. The externally managed structure means even operational decisions serve the manager (Bimini Advisors) as much as shareholders. The repeated cycle of dividend cuts, dilutive equity issuance, and book value erosion suggests no commitment beyond perpetuating the management fee arrangement.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has been stable since founding — Robert Cauley has served as Chairman, President, and CEO since August 2010, providing 16 years of consistent leadership [2]. However, ORC has no direct employees (externally managed), so there are no teams to build trust with in Sinek's framework. The management consistency earns credit, but the absence of an organizational workforce prevents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ORC management acknowledges competitors' strengths or uses competitive pressure for self-improvement. The company operates a commoditized strategy (leveraged Agency RMBS) identical to dozens of peers and does not articulate how rivals push it to improve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ORC has operated the identical business model since its 2013 IPO — leveraged Agency RMBS investing through repurchase agreements. No pivots, no evolution, no adaptation despite significant changes in interest rate environments, the 2022-2023 rate hiking cycle, and shifts in mortgage markets [1]. The company has not diversified into non-Agency RMBS, commercial mortgages, or any adjacent strategy.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Management optimizes for spread income and manages leverage ratios — competent execution of a static strategy but no examples of sacrificing near-term results for long-term capability [1]. The continued payment of dividends at or above earnings capacity, followed by inevitable cuts (from $0.14 peak to $0.04 to $0.12 to current $0.10), prioritizes current yield over long-term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ORC offers a headline 23% annualized dividend yield ($0.10/month, $1.20 annualized) and trades at a 28% discount to book value ($5.18 vs $7.22), which could attract deep-value income seekers [1][4]. Q2 2026 demonstrated the earnings power of the leveraged portfolio with EPS of $0.44 and a 6.2% total return, reversing Q1's -$0.11 loss [1]. The $11.4B Agency RMBS portfolio carries implicit government guarantees eliminating credit risk. Forward P/E of 4.93x and trailing P/E of 3.16x provide apparent deep value on current earnings [4]. ROE of 20.8% and profit margin of 90.6% show the portfolio can generate strong returns in favorable rate environments. Any yield curve steepening or mortgage spread tightening would benefit the leveraged portfolio, and CEO Cauley's 16-year tenure provides management continuity.</w:t>
      </w:r>
    </w:p>
    <w:p>
      <w:pPr>
        <w:spacing w:after="120"/>
      </w:pPr>
      <w:r>
        <w:rPr>
          <w:rFonts w:ascii="Calibri" w:hAnsi="Calibri"/>
          <w:b w:val="0"/>
          <w:color w:val="3A4A28"/>
          <w:sz w:val="20"/>
        </w:rPr>
        <w:t>The bear case remains dominant despite Q2's strong recovery. The Q1 2026 net loss followed by Q2's strong quarter underscores the extreme earnings volatility inherent in a leveraged mREIT operating at 7.9:1 leverage — Q1 reversed over $100M in Q4 2025 gains within one quarter [1]. The dividend has been cut repeatedly over five years: from $0.14/month peak to $0.04 trough to $0.12 to current $0.10, producing a 5-year dividend growth CAGR of -18.7% [3]. Massive share dilution via the ATM equity program has ballooned the share count approximately 9.5x since 2020, destroying per-share value even as the aggregate portfolio grew [2]. The externally managed structure pays fees to Bimini Advisors based on assets under management, creating incentives to grow the portfolio through dilutive equity issuance regardless of shareholder returns. The 28% discount to book value has widened from 7% just two months ago, suggesting accelerating market skepticism. With zero Innovation, zero Inspiration, and a deeply finite mindset, ORC represents a classic yield trap where the high headline distribution masks chronic book value erosion and per-share value destruction.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Yield curve steepening or continued Fed rate cuts could widen net interest margins, supporting earnings stability and the $0.10/month dividend — Q2 2026's EPS of $0.44 shows the portfolio's upside potential in favorable rate environments [1]</w:t>
      </w:r>
    </w:p>
    <w:p>
      <w:pPr>
        <w:spacing w:before="40" w:after="40"/>
        <w:ind w:left="283"/>
      </w:pPr>
      <w:r>
        <w:rPr>
          <w:rFonts w:ascii="Calibri" w:hAnsi="Calibri"/>
          <w:b/>
          <w:color w:val="4A6B25"/>
          <w:sz w:val="20"/>
        </w:rPr>
        <w:t xml:space="preserve">2. </w:t>
      </w:r>
      <w:r>
        <w:rPr>
          <w:rFonts w:ascii="Calibri" w:hAnsi="Calibri"/>
          <w:b w:val="0"/>
          <w:color w:val="3A4A28"/>
          <w:sz w:val="20"/>
        </w:rPr>
        <w:t>Stock trading at 28% discount to book value ($5.18 vs $7.22) represents deep value if the rate environment stabilizes and book value erosion stops [1][4]</w:t>
      </w:r>
    </w:p>
    <w:p>
      <w:pPr>
        <w:spacing w:before="40" w:after="40"/>
        <w:ind w:left="283"/>
      </w:pPr>
      <w:r>
        <w:rPr>
          <w:rFonts w:ascii="Calibri" w:hAnsi="Calibri"/>
          <w:b/>
          <w:color w:val="4A6B25"/>
          <w:sz w:val="20"/>
        </w:rPr>
        <w:t xml:space="preserve">3. </w:t>
      </w:r>
      <w:r>
        <w:rPr>
          <w:rFonts w:ascii="Calibri" w:hAnsi="Calibri"/>
          <w:b w:val="0"/>
          <w:color w:val="3A4A28"/>
          <w:sz w:val="20"/>
        </w:rPr>
        <w:t>Portfolio growth to $11.4B in average fair value provides a larger asset base for income generation, with Agency RMBS guarantees eliminating credit risk while maintaining leveraged return potential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Yield trap dynamics — 23% headline yield masks chronic value destruction: 5-year dividend growth CAGR of -18.7%, share count dilution of ~9.5x since 2020, and a history of five dividend cuts in six years from $0.14 to $0.10 per month [1][3]</w:t>
      </w:r>
    </w:p>
    <w:p>
      <w:pPr>
        <w:spacing w:before="40" w:after="40"/>
        <w:ind w:left="283"/>
      </w:pPr>
      <w:r>
        <w:rPr>
          <w:rFonts w:ascii="Calibri" w:hAnsi="Calibri"/>
          <w:b/>
          <w:color w:val="4A6B25"/>
          <w:sz w:val="20"/>
        </w:rPr>
        <w:t xml:space="preserve">2. </w:t>
      </w:r>
      <w:r>
        <w:rPr>
          <w:rFonts w:ascii="Calibri" w:hAnsi="Calibri"/>
          <w:b w:val="0"/>
          <w:color w:val="3A4A28"/>
          <w:sz w:val="20"/>
        </w:rPr>
        <w:t>Interest rate risk amplified by 7.9:1 leverage — a 100bps rate spike or mortgage spread widening could materially impair book value, as demonstrated by Q1 2026's net loss that reversed Q4 2025 income within one quarter [1]</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(Bimini Advisors) creates misaligned incentives — management fees based on AUM incentivize continued dilutive equity issuance and portfolio growth regardless of per-share returns, fundamentally undermining long-term shareholder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ORC's core business — leveraged investment in Agency RMBS guaranteed by U.S. government-sponsored enterprises — is structurally protected from AI disruption [1]. The underlying assets are physical mortgage loans with government guarantees that AI cannot replicate or replace. Mortgage REIT portfolio management involves interest rate hedging and prepayment modeling that AI could enhance but not substitute. The deeply regulated financial infrastructure and GSE guarantees create meaningful defensive moats. However, AI-driven quantitative strategies could potentially optimize competing mREIT portfolios more effectively, compressing the spread that ORC earns over time. AI Opportunity (0/1): ORC has no AI products, services, or revenue and has disclosed no AI-related initiatives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Orchid Island Capital Q2 2026 Earnings — EPS $0.44 (vs -$0.11 Q1 Loss), Book Value $7.22, Total Return 6.2%, Portfolio $11.4B Avg, Dividend Cut to $0.10/Month, Leverage 7.9:1, August 2026</w:t>
      </w:r>
    </w:p>
    <w:p>
      <w:pPr>
        <w:spacing w:before="20" w:after="20"/>
        <w:ind w:left="170"/>
      </w:pPr>
      <w:r>
        <w:rPr>
          <w:rFonts w:ascii="Calibri" w:hAnsi="Calibri"/>
          <w:b/>
          <w:color w:val="4A6B25"/>
          <w:sz w:val="15"/>
        </w:rPr>
        <w:t xml:space="preserve">2. </w:t>
      </w:r>
      <w:r>
        <w:rPr>
          <w:rFonts w:ascii="Calibri" w:hAnsi="Calibri"/>
          <w:b w:val="0"/>
          <w:color w:val="3A4A28"/>
          <w:sz w:val="17"/>
        </w:rPr>
        <w:t>Orchid Island Capital Corporate — Externally Managed by Bimini Advisors, CEO Robert Cauley (Since 2010), ATM Equity Program, No Direct Employees, Board 33% Women — SEC Proxy, orchidislandcapital.com,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Orchid Island Capital Dividend History — Monthly $0.10 (Reduced from $0.12 April 2026), Annual $1.20, Yield 23.2%, 5yr CAGR -18.7%, Consecutive Cuts Since 2020, Paying Since 2013 — Yahoo Finance,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ORC Key Statistics: Stock Price $5.18, Forward P/E 4.93, D/E 770%, ROE 20.8%, Profit Margin 90.6%, Book Value $7.22, P/B 0.72, Avg Volume 5.4M, $11.1B Total Debt, $1.2B Cash,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