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ORIC</w:t>
      </w:r>
      <w:r>
        <w:rPr>
          <w:rFonts w:ascii="Calibri" w:hAnsi="Calibri"/>
          <w:b/>
          <w:color w:val="1A2010"/>
          <w:sz w:val="40"/>
        </w:rPr>
        <w:t xml:space="preserve">  ORIC Pharmaceuticals, Inc.</w:t>
      </w:r>
    </w:p>
    <w:p>
      <w:pPr>
        <w:spacing w:after="120"/>
      </w:pPr>
      <w:r>
        <w:rPr>
          <w:rFonts w:ascii="Calibri" w:hAnsi="Calibri"/>
          <w:b/>
          <w:color w:val="6E8450"/>
          <w:sz w:val="18"/>
        </w:rPr>
        <w:t>GROWTH SLEEVE · 2026-09-17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ORIC Pharmaceuticals is a clinical-stage biopharmaceutical company dedicated to 'Overcoming Resistance In Cancer.' Following an August 2025 strategic prioritization, the company has focused its capital on two lead programs: rinzimetostat (ORIC-944), now in the Phase 3 Himalayas-1 trial for castration-resistant prostate cancer with partnerships with Bayer and Johnson &amp; Johnson, and enozertinib (ORIC-114), a brain-penetrant EGFR/HER2 exon20 inhibitor advancing toward Phase 3 [1][2]. As of Q1 2026 the company held $419.7M in cash and investments with a runway into the second half of 2028, and generates no product revenue.</w:t>
      </w:r>
    </w:p>
    <w:p>
      <w:r>
        <w:rPr>
          <w:rFonts w:ascii="Calibri" w:hAnsi="Calibri"/>
          <w:b/>
          <w:color w:val="6E8450"/>
          <w:sz w:val="18"/>
        </w:rPr>
        <w:t>111 Employees · https://www.oricpharma.com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Jacob Chacko (since April 2018), ORIC has raised over $900M in financing and advanced four programs into the clinic, and its August 2025 decision to prioritize resources onto its two most differentiated assets shows disciplined capital allocation rather than indiscriminate pipeline expansion [1][2]. AI Deployment (0/2): No evidence of AI-driven drug discovery or development tools was identified in ORIC's public disclosures. Market Share (0/2): As a pre-commercial clinical-stage company, ORIC has no product revenue or market share to evaluate. Product Pipeline (2/2): Rinzimetostat is differentiated by a 20-hour half-life enabling once-daily dosing and an improved safety profile versus competitors, is partnered with both Bayer (Nubeqa combination) and J&amp;J (Erleada combination), and enozertinib data is due at ESMO Madrid, with four clinical readouts expected through mid-2026 [1][2]. R&amp;D Intensity (1/1): R&amp;D is effectively the entire cost base -- Q2 2026 net loss of $77.3M was driven by rising R&amp;D spend as trials advance toward registrational stage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'Overcoming Resistance In Cancer' is a specific, patient-centered mission distinct from generic biotech positioning, and the August 2025 decision to kill lower-priority programs to protect the core mission's best shots is evidence the mission is actually lived, not just stated [1][2]. Community Impact (0/2): No specific community investment or patient-access program beyond standard clinical trial access was identified. Employee Retention (0/2): With only 111 employees and a workforce that management considers to have a 'good' relationship, no turnover or tenure data was found to substantiate an above-average score; recent hires (CTO, SVP Commercial) reflect pre-commercial buildout rather than retention evidence. Insider Buying (0/2): No meaningful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PEG ratio, revenue growth YoY, and 5-year revenue CAGR are not meaningful for a pre-revenue clinical-stage biotech and were excluded from the weighted calculation rather than defaulted to zero. D/E of 1.57% and a (mechanically favorable but economically meaningless) negative Forward P/E of -7.77 both score at the ceiling given ORIC carries almost no debt, but ROE of -39.8% and profit margin of 0.0% (no product revenue) each score at the floor, dragging the composite down [4]. The $419.7M cash position provides a multi-year runway into 2H 2028, which is the more relevant solvency signal for a clinical-stage name than these efficiency ratios, but is not part of the mechanical formula [1]. Liquidity clears the floor easily at ~$19.2M average daily dollar volume (1.53M shares x $12.54).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ORIC plays a moderately infinite game centered on a specific, genuinely-held mission -- overcoming resistance mechanisms in cancer -- reinforced by the August 2025 decision to deprioritize weaker programs in order to protect resources for its two most differentiated assets, a classic existential-flexibility move that prioritized the mission over near-term pipeline breadth. The company's partnership-oriented posture with Bayer and J&amp;J (co-developing combination therapies rather than going it alone) reflects a worthy-rivals mindset, though limited public data on team culture and only two years of post-prioritization track record keep it short of a fully infinite designation.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'Overcoming Resistance In Cancer' is specific and mechanistically grounded rather than aspirational marketing language, and the willingness to narrow the pipeline in August 2025 to protect this cause over growth-for-growth's-sake financial optics is evidence the cause guides real decisions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Recent leadership additions (Kevin Brodbeck as CTO ahead of Phase 3, Keith Lui as SVP Commercial, Angie You added to the board) suggest deliberate team-building ahead of a commercialization inflection, but no specific culture, turnover, or engagement data was available to substantiate a stronger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ORIC's clinical collaboration and supply agreements with Bayer (Nubeqa) and Johnson &amp; Johnson (Erleada) reflect a partnership-first posture toward combination therapy development rather than a go-it-alone competitive stance, indicative of ecosystem-oriented thinking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August 2025 strategic pipeline prioritization -- deliberately killing lower-conviction programs to concentrate capital on rinzimetostat and enozertinib -- is a genuine act of existential flexibility, though it narrows rather than transforms the underlying business model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Chacko's decision to publicly narrow the pipeline in August 2025, accepting the near-term narrative and investor-relations risk of appearing to shrink ambition, in favor of protecting runway and focus for the strongest assets, is a credible act of costly, mission-aligned leadership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ORIC is a focused, well-capitalized clinical-stage oncology company with $419.7M in cash (runway into 2H 2028) that has deliberately narrowed its pipeline to its two most differentiated, partnered assets: rinzimetostat, now in the pivotal Phase 3 Himalayas-1 trial for castration-resistant prostate cancer with Bayer and J&amp;J combination-study support, and enozertinib, a brain-penetrant EGFR/HER2 exon20 inhibitor with data due at ESMO Madrid [1][2]. Four clinical data readouts are expected through mid-2026 ahead of potential registrational trial starts for both programs, providing multiple binary catalysts that could re-rate the stock materially if positive. The August 2025 pipeline prioritization and big-pharma partnerships suggest disciplined management focused on the assets most likely to reach approval rather than empire-building.</w:t>
      </w:r>
    </w:p>
    <w:p>
      <w:pPr>
        <w:spacing w:after="120"/>
      </w:pPr>
      <w:r>
        <w:rPr>
          <w:rFonts w:ascii="Calibri" w:hAnsi="Calibri"/>
          <w:b w:val="0"/>
          <w:color w:val="3A4A28"/>
          <w:sz w:val="20"/>
        </w:rPr>
        <w:t>The bear case is the standard clinical-stage biotech risk profile magnified by concentration: with only two lead programs remaining after the 2025 prioritization, a single Phase 3 miss for rinzimetostat or a disappointing enozertinib readout at ESMO would remove much of the near-term catalyst path and could pressure the stock sharply given ORIC's -39.8% ROE and zero product revenue [1][4]. The company remains pre-revenue with a Q2 2026 net loss of $77.3M and rising R&amp;D spend as trials advance toward registrational scale, meaning further dilutive financing is likely before any potential approval and commercial launch. Success is also gated by regulatory and competitive dynamics in a crowded oncology landscape where larger, better-resourced players (including partners Bayer and J&amp;J themselves) could out-execute on combination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Four clinical data readouts expected across rinzimetostat and enozertinib through mid-2026, ahead of potential registrational trial initiation for both programs -- each is a binary, stock-moving event [1]</w:t>
      </w:r>
    </w:p>
    <w:p>
      <w:pPr>
        <w:spacing w:before="40" w:after="40"/>
        <w:ind w:left="283"/>
      </w:pPr>
      <w:r>
        <w:rPr>
          <w:rFonts w:ascii="Calibri" w:hAnsi="Calibri"/>
          <w:b/>
          <w:color w:val="4A6B25"/>
          <w:sz w:val="20"/>
        </w:rPr>
        <w:t xml:space="preserve">2. </w:t>
      </w:r>
      <w:r>
        <w:rPr>
          <w:rFonts w:ascii="Calibri" w:hAnsi="Calibri"/>
          <w:b w:val="0"/>
          <w:color w:val="3A4A28"/>
          <w:sz w:val="20"/>
        </w:rPr>
        <w:t>Enozertinib data update expected at ESMO Madrid could differentiate the brain-penetrant EGFR/HER2 exon20 asset from competitors and support a Phase 3 initiation decision [1]</w:t>
      </w:r>
    </w:p>
    <w:p>
      <w:pPr>
        <w:spacing w:before="40" w:after="40"/>
        <w:ind w:left="283"/>
      </w:pPr>
      <w:r>
        <w:rPr>
          <w:rFonts w:ascii="Calibri" w:hAnsi="Calibri"/>
          <w:b/>
          <w:color w:val="4A6B25"/>
          <w:sz w:val="20"/>
        </w:rPr>
        <w:t xml:space="preserve">3. </w:t>
      </w:r>
      <w:r>
        <w:rPr>
          <w:rFonts w:ascii="Calibri" w:hAnsi="Calibri"/>
          <w:b w:val="0"/>
          <w:color w:val="3A4A28"/>
          <w:sz w:val="20"/>
        </w:rPr>
        <w:t>Continued execution of the Bayer (Nubeqa) and J&amp;J (Erleada) combination-study partnerships validates rinzimetostat's differentiated profile and reduces ORIC's standalone capital burden for combination data generation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Pipeline concentration risk: following the August 2025 prioritization, ORIC's value is now tied almost entirely to two clinical assets, so a Phase 3 safety or efficacy miss for rinzimetostat would remove the company's primary value driver [2]</w:t>
      </w:r>
    </w:p>
    <w:p>
      <w:pPr>
        <w:spacing w:before="40" w:after="40"/>
        <w:ind w:left="283"/>
      </w:pPr>
      <w:r>
        <w:rPr>
          <w:rFonts w:ascii="Calibri" w:hAnsi="Calibri"/>
          <w:b/>
          <w:color w:val="4A6B25"/>
          <w:sz w:val="20"/>
        </w:rPr>
        <w:t xml:space="preserve">2. </w:t>
      </w:r>
      <w:r>
        <w:rPr>
          <w:rFonts w:ascii="Calibri" w:hAnsi="Calibri"/>
          <w:b w:val="0"/>
          <w:color w:val="3A4A28"/>
          <w:sz w:val="20"/>
        </w:rPr>
        <w:t>Pre-revenue biotech with -39.8% ROE and a widening net loss ($77.3M in Q2 2026) will likely require additional dilutive financing before any product reaches the market, even with a runway into 2H 2028 [1][4]</w:t>
      </w:r>
    </w:p>
    <w:p>
      <w:pPr>
        <w:spacing w:before="40" w:after="40"/>
        <w:ind w:left="283"/>
      </w:pPr>
      <w:r>
        <w:rPr>
          <w:rFonts w:ascii="Calibri" w:hAnsi="Calibri"/>
          <w:b/>
          <w:color w:val="4A6B25"/>
          <w:sz w:val="20"/>
        </w:rPr>
        <w:t xml:space="preserve">3. </w:t>
      </w:r>
      <w:r>
        <w:rPr>
          <w:rFonts w:ascii="Calibri" w:hAnsi="Calibri"/>
          <w:b w:val="0"/>
          <w:color w:val="3A4A28"/>
          <w:sz w:val="20"/>
        </w:rPr>
        <w:t>Competitive and regulatory risk in prostate cancer and EGFR/HER2-mutant NSCLC is intense, and partners Bayer and J&amp;J retain significant influence over combination-study design and commercialization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Drug discovery and clinical development require physical trials, regulatory review, and biological validation that AI cannot substitute for, structurally insulating ORIC's core value driver (clinical data) from AI disruption. AI Opportunity (0/1): No evidence was found of ORIC using AI-driven discovery platforms, computational modeling, or trial-design optimization tools, so the company is neither meaningfully threatened nor meaningfully advantaged by AI at this stage -- a modest missed opportunity given how widely AI-assisted discovery has spread across biotech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ORIC Pharmaceuticals Q1/Q2 2026 financial results and pipeline updates -- investors.oricpharma.com, StockTitan, cash position and Phase 3 Himalayas-1 detail, May-August 2026</w:t>
      </w:r>
    </w:p>
    <w:p>
      <w:pPr>
        <w:spacing w:before="20" w:after="20"/>
        <w:ind w:left="170"/>
      </w:pPr>
      <w:r>
        <w:rPr>
          <w:rFonts w:ascii="Calibri" w:hAnsi="Calibri"/>
          <w:b/>
          <w:color w:val="4A6B25"/>
          <w:sz w:val="15"/>
        </w:rPr>
        <w:t xml:space="preserve">2. </w:t>
      </w:r>
      <w:r>
        <w:rPr>
          <w:rFonts w:ascii="Calibri" w:hAnsi="Calibri"/>
          <w:b w:val="0"/>
          <w:color w:val="3A4A28"/>
          <w:sz w:val="17"/>
        </w:rPr>
        <w:t>ORIC Pharmaceuticals leadership, partnerships, and August 2025 pipeline prioritization -- oricpharma.com, BioSpace, CEO Jacob Chacko tenure and financing history, 2025-2026</w:t>
      </w:r>
    </w:p>
    <w:p>
      <w:pPr>
        <w:spacing w:before="20" w:after="20"/>
        <w:ind w:left="170"/>
      </w:pPr>
      <w:r>
        <w:rPr>
          <w:rFonts w:ascii="Calibri" w:hAnsi="Calibri"/>
          <w:b/>
          <w:color w:val="4A6B25"/>
          <w:sz w:val="15"/>
        </w:rPr>
        <w:t xml:space="preserve">3. </w:t>
      </w:r>
      <w:r>
        <w:rPr>
          <w:rFonts w:ascii="Calibri" w:hAnsi="Calibri"/>
          <w:b w:val="0"/>
          <w:color w:val="3A4A28"/>
          <w:sz w:val="17"/>
        </w:rPr>
        <w:t>Sustainalytics ESG Risk Rating -- ORIC Pharmaceuticals, Inc.,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ORIC key statistics: ROE -39.8%, D/E 1.57%, Forward P/E -7.77, market cap $1.3B,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