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ORI</w:t>
      </w:r>
      <w:r>
        <w:rPr>
          <w:rFonts w:ascii="Calibri" w:hAnsi="Calibri"/>
          <w:b/>
          <w:color w:val="1A2010"/>
          <w:sz w:val="40"/>
        </w:rPr>
        <w:t xml:space="preserve">  Old Republic International Corporation</w:t>
      </w:r>
    </w:p>
    <w:p>
      <w:pPr>
        <w:spacing w:after="120"/>
      </w:pPr>
      <w:r>
        <w:rPr>
          <w:rFonts w:ascii="Calibri" w:hAnsi="Calibri"/>
          <w:b/>
          <w:color w:val="6E8450"/>
          <w:sz w:val="18"/>
        </w:rPr>
        <w:t>DIVIDEND SLEEVE · 2026-08-29 · Inspire: 20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Property &amp; Casualty · NYSE · United States</w:t>
      </w:r>
    </w:p>
    <w:p>
      <w:pPr>
        <w:spacing w:after="80"/>
      </w:pPr>
      <w:r>
        <w:rPr>
          <w:rFonts w:ascii="Calibri" w:hAnsi="Calibri"/>
          <w:b w:val="0"/>
          <w:color w:val="3A4A28"/>
          <w:sz w:val="20"/>
        </w:rPr>
        <w:t>Old Republic International Corporation is a Chicago-based insurance holding company operating through three segments: General Insurance (commercial auto, workers' compensation, general liability, and other property/casualty lines), Title Insurance (one of the largest title insurance groups in the US providing title policies, escrow, and closing services), and RFIG Run-off (mortgage guaranty insurance in runoff). Founded in 1923, ORI has over 100 years of continuous operation and has paid dividends for 84 consecutive years.</w:t>
      </w:r>
    </w:p>
    <w:p>
      <w:r>
        <w:rPr>
          <w:rFonts w:ascii="Calibri" w:hAnsi="Calibri"/>
          <w:b/>
          <w:color w:val="6E8450"/>
          <w:sz w:val="18"/>
        </w:rPr>
        <w:t>9,400 Employees · https://www.oldrepublic.com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Old Republic has maintained its core insurance franchise for over 100 years without a transformative pivot. The recent launch of eight startup specialty operating companies represents incremental expansion into new lines of business, but the company's fundamental model — conservative underwriting across general insurance and title insurance — remains unchanged [1][3]. AI Deployment (1/2): ORI is actively investing in AI, data analytics, and core system modernization, with Specialty segment expense ratios impacted by front-loaded technology investment costs [3]. The company integrates AI into its enterprise risk management discipline within a structured governance framework, but no specific AI-driven revenue or quantified cost savings have been reported. Market Share (1/2): ORI operates one of the largest title insurance groups in the US and has a meaningful general insurance franchise, particularly in commercial auto and workers' compensation [1]. Not a category leader but a well-established player with multi-decade client relationships. Product Pipeline (1/2): Eight startup specialty operating companies provide expansion into adjacent insurance lines, though specific products and revenue targets have not been disclosed publicly. General R&amp;D activity in AI and system modernization without specific launch timelines. R&amp;D Intensity (1/1): For an insurance company, ORI's front-loaded technology investment spending — AI, data analytics, and core system modernization — represents above-average commitment to technology infrastructure improvement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ORI's guiding philosophy 'Managing for the Long Run' — the title of their 2025 annual review — is clear and differentiating, explicitly communicating a long-term orientation that sets the company apart from peers optimizing for quarterly results [4]. This philosophy has been validated by 100+ years of operation and 84 consecutive years of dividend payments. However, it describes a management approach rather than a deeper purpose or vision of a better future. Community Impact (0/2): No evidence of distinctive community investment programs, corporate foundations, or charitable initiatives with quantified dollar amounts. Standard corporate citizenship without standout community engagement. Employee Retention (0/2): Glassdoor rating of 3.2/5 based on 288 reviews — below average [5]. Employees report cultural challenges following the leadership transition from the prior CEO (who served approximately 45 years) to new management, with reviews citing poor management, low pay, and limited training opportunities. The transition period combined with the pandemic created organizational instability. Insider Buying (0/2): No meaningful net insider buying by executives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exceptional metrics across most categories. D/E of 37.6% scores perfectly against the 70% target — a conservatively capitalized balance sheet consistent with ORI's long-run management philosophy [2]. ROE of 18.6% exceeds the 15% target, reflecting strong underwriting profitability [2]. Revenue growth YoY of 13.1% with LTM revenue of $9.42B scores perfectly [1]. Revenue 5yr CAGR of approximately 6% scores 0.73 — the only meaningful drag alongside profit margin. Forward P/E of 13.3 scores perfectly, well below the 20 target [2]. Profit margin of 12.0% scores 0.60 — acceptable for insurance but below the 20% ideal, reflecting the capital-intensive nature of insurance underwriting [2]. All four dividend metrics score at or near maximum: 28% payout ratio leaves ample room for dividend growth, 84 consecutive years paid demonstrates extraordinary institutional commitment, 43 consecutive years of growth, and 5yr dividend growth CAGR of 6.9% exceeds the 6% target [6][7]. Liquidity floor cleared: approximately 1.8M avg daily volume x $40 = $72M daily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Old Republic International's 100+ year operating history and 'Managing for the Long Run' philosophy explicitly align with Sinek's infinite game principles. The company has endured multiple insurance cycles, two world wars, the Great Depression, and the 2008 financial crisis while maintaining 84 consecutive years of dividend payments [4][6]. However, the cultural challenges following the long-tenured CEO's departure, below-average employee satisfaction, and conservative-to-a-fault approach to innovation suggest the company is playing to endure rather than to advance a Just Cause.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'Managing for the Long Run' is a genuine and distinctive philosophy that has been validated by over 100 years of consistent execution [4]. ORI has demonstrated through actions — 84 consecutive years of dividends, conservative underwriting through competitive cycles, willingness to absorb short-term losses in RFIG rather than abandon policyholders — that long-term orientation is not just a slogan. Strategic decisions (launching eight specialty startups, maintaining conservative reserves) trace back to this philosophy. However, 'Managing for the Long Run' describes how ORI operates, not a vision of a future state worth sacrificing for. It has not been tested through a leadership transition well — the post-Zucaro cultural disruption suggests the cause was tied to a leader, not the institution.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3.2/5 with 288 reviews indicates a below-average work environment [5]. Employees describe cultural chaos following the departure of the prior CEO who served for approximately 45 years, with the leadership transition combined with the pandemic creating organizational instability. Reviews cite poor management, low pay, limited training, and bureaucratic processes. The contrast between the previous stable culture and current employee sentiment suggests the 'Circle of Safety' was disrupted by the leadership change and has not been fully restored.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ORI operates in a highly competitive insurance landscape alongside Chubb, Travelers, and Fidelity National Financial (title insurance). The company's approach to competition is distinctly infinite — rather than attempting to undercut rivals on pricing or win market share through aggressive underwriting, ORI focuses on consistent, conservative underwriting discipline and lets competitors drive pricing cycles. When rivals cut prices to gain share, ORI maintains underwriting standards even at the cost of volume. This competitive patience reflects learning from, not destroying,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Over its 100+ year history, ORI has evolved from a traditional insurer into a diversified insurance holding company with General Insurance, Title Insurance, and previously Mortgage Guaranty operations. The recent launch of eight startup specialty operating companies shows willingness to adapt by entering new insurance lines. The wind-down of the RFIG mortgage guaranty segment demonstrated strategic discipline in exiting a business that no longer served the company. However, ORI has never fundamentally reinvented itself — all pivots have been within insurance, representing incremental adaptation rather than transformative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ORI has demonstrated disciplined underwriting through competitive market cycles, maintaining pricing standards when rivals cut rates to gain share — choosing long-term profitability over near-term premium growth [1]. The company absorbed significant losses in its RFIG mortgage guaranty segment during the 2008-2010 financial crisis while maintaining dividends to shareholders, prioritizing institutional stability over short-term financial engineering. The front-loaded investment in AI and startup specialty companies also represents near-term expense in service of long-term capability [3]. However, these decisions reflect conservative management rather than bold, costly bets that challenged the status quo.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Old Republic International delivered a strong Q2 2026 with net income of $322.3M, up 58.1% YoY, and consolidated pretax operating income of $238M [1]. LTM revenue of $9.42B grew 13.1% driven by broad-based premium growth across General Insurance and Title Insurance segments. The company's conservative balance sheet (D/E 37.6%, ROE 18.6%) and extraordinary dividend track record (84 consecutive years of payments, 43 years of growth, 6.9% 5yr dividend growth CAGR) make it one of the most reliable income generators in the insurance sector [2][6]. Forward P/E of 13.3 with a 28% payout ratio leaves substantial room for continued dividend growth. Eight startup specialty operating companies provide optionality for future growth, and active AI and technology investments position ORI for operational efficiency gains [3].</w:t>
      </w:r>
    </w:p>
    <w:p>
      <w:pPr>
        <w:spacing w:after="120"/>
      </w:pPr>
      <w:r>
        <w:rPr>
          <w:rFonts w:ascii="Calibri" w:hAnsi="Calibri"/>
          <w:b w:val="0"/>
          <w:color w:val="3A4A28"/>
          <w:sz w:val="20"/>
        </w:rPr>
        <w:t>The bear case centers on ORI's cultural challenges following the leadership transition from a CEO who served approximately 45 years, with Glassdoor ratings of 3.2/5 reflecting organizational instability and employee dissatisfaction [5]. Innovation remains incremental — ORI is a 100-year-old insurance company that has never reinvented itself, and the startup specialty companies are early-stage with uncertain revenue contributions. Profit margin of 12.0% is below the 20% target, reflecting the capital-intensive and competitive nature of property/casualty insurance. Revenue growth of 5.6% per annum on average is forecast for the next 2 years — above the insurance industry's 3.1% but not enough to re-rate the stock's multiple. The trailing P/E of 9.0 vs forward P/E of 13.3 suggests the market expects earnings normalization from the current elevated levels, which may include unrealized investment gains that are not sustainable.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net income of $322.3M (up 58.1% YoY) driven by strong premium growth and favorable loss ratios, with potential for continued earnings momentum as pricing discipline benefits from a hardening commercial insurance market [1]</w:t>
      </w:r>
    </w:p>
    <w:p>
      <w:pPr>
        <w:spacing w:before="40" w:after="40"/>
        <w:ind w:left="283"/>
      </w:pPr>
      <w:r>
        <w:rPr>
          <w:rFonts w:ascii="Calibri" w:hAnsi="Calibri"/>
          <w:b/>
          <w:color w:val="4A6B25"/>
          <w:sz w:val="20"/>
        </w:rPr>
        <w:t xml:space="preserve">2. </w:t>
      </w:r>
      <w:r>
        <w:rPr>
          <w:rFonts w:ascii="Calibri" w:hAnsi="Calibri"/>
          <w:b w:val="0"/>
          <w:color w:val="3A4A28"/>
          <w:sz w:val="20"/>
        </w:rPr>
        <w:t>Eight startup specialty operating companies ramping toward profitability — as front-loaded investment costs roll off, these new business lines could contribute meaningful incremental revenue and improved expense ratios [3]</w:t>
      </w:r>
    </w:p>
    <w:p>
      <w:pPr>
        <w:spacing w:before="40" w:after="40"/>
        <w:ind w:left="283"/>
      </w:pPr>
      <w:r>
        <w:rPr>
          <w:rFonts w:ascii="Calibri" w:hAnsi="Calibri"/>
          <w:b/>
          <w:color w:val="4A6B25"/>
          <w:sz w:val="20"/>
        </w:rPr>
        <w:t xml:space="preserve">3. </w:t>
      </w:r>
      <w:r>
        <w:rPr>
          <w:rFonts w:ascii="Calibri" w:hAnsi="Calibri"/>
          <w:b w:val="0"/>
          <w:color w:val="3A4A28"/>
          <w:sz w:val="20"/>
        </w:rPr>
        <w:t>43 consecutive years of dividend increases with a 28% payout ratio provides capacity for accelerated dividend growth — the 9.4% increase in 2025 signals management's willingness to increase the pace of distribution growth [6][7]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Cultural disruption following the CEO transition — Glassdoor ratings of 3.2/5 and employee complaints about management quality, low pay, and limited training suggest potential talent retention and operational execution risks [5]</w:t>
      </w:r>
    </w:p>
    <w:p>
      <w:pPr>
        <w:spacing w:before="40" w:after="40"/>
        <w:ind w:left="283"/>
      </w:pPr>
      <w:r>
        <w:rPr>
          <w:rFonts w:ascii="Calibri" w:hAnsi="Calibri"/>
          <w:b/>
          <w:color w:val="4A6B25"/>
          <w:sz w:val="20"/>
        </w:rPr>
        <w:t xml:space="preserve">2. </w:t>
      </w:r>
      <w:r>
        <w:rPr>
          <w:rFonts w:ascii="Calibri" w:hAnsi="Calibri"/>
          <w:b w:val="0"/>
          <w:color w:val="3A4A28"/>
          <w:sz w:val="20"/>
        </w:rPr>
        <w:t>Earnings normalization from current elevated levels — the gap between trailing P/E of 9.0 and forward P/E of 13.3 suggests investment gains or favorable loss development may not be sustainable, and any deterioration in loss ratios could compress margins</w:t>
      </w:r>
    </w:p>
    <w:p>
      <w:pPr>
        <w:spacing w:before="40" w:after="40"/>
        <w:ind w:left="283"/>
      </w:pPr>
      <w:r>
        <w:rPr>
          <w:rFonts w:ascii="Calibri" w:hAnsi="Calibri"/>
          <w:b/>
          <w:color w:val="4A6B25"/>
          <w:sz w:val="20"/>
        </w:rPr>
        <w:t xml:space="preserve">3. </w:t>
      </w:r>
      <w:r>
        <w:rPr>
          <w:rFonts w:ascii="Calibri" w:hAnsi="Calibri"/>
          <w:b w:val="0"/>
          <w:color w:val="3A4A28"/>
          <w:sz w:val="20"/>
        </w:rPr>
        <w:t>InsurTech and AI-enabled competitors automating portions of underwriting, claims processing, and title searches could compress margins for traditional carriers that are slower to adopt digital workflows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Insurance operations are protected from AI disruption by multiple regulatory moats — state licensing requirements, statutory reserve regulations, and rate filing processes create barriers that AI alone cannot bypass [1]. Title insurance requires licensed agents, legal title searches, and assumption of title defect liability in every state, with regulatory frameworks that cannot be automated away. Commercial auto and workers' compensation underwriting requires physical claims inspection, medical records review, and legal proceedings that involve human judgment. However, InsurTech competitors are using AI to automate portions of underwriting, pricing, and claims processing, creating some competitive pressure on traditional carriers. ORI's 100-year track record and deep relationships provide switching cost moats. AI Opportunity (0/1): While ORI is investing in AI for internal operations (data analytics, risk management, system modernization), the company does not generate revenue from AI products or services sold externally [3]. AI investments are cost-side improvements, not revenue-generating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20</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Old Republic International Q2 2026 Earnings Release — GuruFocus, July 23,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ORI Key Statistics and Financial Data,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Old Republic International Q1 2026 Earnings Call — Fortune/Yahoo Finance, April 2026</w:t>
      </w:r>
    </w:p>
    <w:p>
      <w:pPr>
        <w:spacing w:before="20" w:after="20"/>
        <w:ind w:left="170"/>
      </w:pPr>
      <w:r>
        <w:rPr>
          <w:rFonts w:ascii="Calibri" w:hAnsi="Calibri"/>
          <w:b/>
          <w:color w:val="4A6B25"/>
          <w:sz w:val="15"/>
        </w:rPr>
        <w:t xml:space="preserve">4. </w:t>
      </w:r>
      <w:r>
        <w:rPr>
          <w:rFonts w:ascii="Calibri" w:hAnsi="Calibri"/>
          <w:b w:val="0"/>
          <w:color w:val="3A4A28"/>
          <w:sz w:val="17"/>
        </w:rPr>
        <w:t>Old Republic International 2025 Annual Review: Managing for the Long Run — ORI Corporate, 2025</w:t>
      </w:r>
    </w:p>
    <w:p>
      <w:pPr>
        <w:spacing w:before="20" w:after="20"/>
        <w:ind w:left="170"/>
      </w:pPr>
      <w:r>
        <w:rPr>
          <w:rFonts w:ascii="Calibri" w:hAnsi="Calibri"/>
          <w:b/>
          <w:color w:val="4A6B25"/>
          <w:sz w:val="15"/>
        </w:rPr>
        <w:t xml:space="preserve">5. </w:t>
      </w:r>
      <w:r>
        <w:rPr>
          <w:rFonts w:ascii="Calibri" w:hAnsi="Calibri"/>
          <w:b w:val="0"/>
          <w:color w:val="3A4A28"/>
          <w:sz w:val="17"/>
        </w:rPr>
        <w:t>Glassdoor — Old Republic International Employee Reviews (288 reviews),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ORI Dividend History and Statistics,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Old Republic International Investor Relations — Dividend History,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