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ORLA</w:t>
      </w:r>
      <w:r>
        <w:rPr>
          <w:rFonts w:ascii="Calibri" w:hAnsi="Calibri"/>
          <w:b/>
          <w:color w:val="1A2010"/>
          <w:sz w:val="40"/>
        </w:rPr>
        <w:t xml:space="preserve">  Orla Mining Ltd.</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Orla Mining Ltd. was a Canadian gold mining company that acquired, explored, developed, and operated gold mines across the Americas. Core assets included the Camino Rojo Oxide Gold Mine in Zacatecas, Mexico, and the Musselwhite Gold Mine in Ontario, Canada (acquired from Newmont in February 2025). ORLA was delisted from NYSE American on July 31, 2026 following the completion of its merger with Equinox Gold (EQX), creating North America's second-largest Canadian gold producer with approximately 1.1 million ounces of expected annual production and an implied market capitalization of $18.5 billion. Financial data reflects the last available figures prior to delisting.</w:t>
      </w:r>
    </w:p>
    <w:p>
      <w:r>
        <w:rPr>
          <w:rFonts w:ascii="Calibri" w:hAnsi="Calibri"/>
          <w:b/>
          <w:color w:val="6E8450"/>
          <w:sz w:val="18"/>
        </w:rPr>
        <w:t>1,085 Employees · https://www.orlamining.com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Orla executed a transformative growth strategy — developing Camino Rojo from greenfield to production, acquiring the established Musselwhite mine from Newmont in February 2025, and merging with Equinox Gold in 2026 to create an $18.5B senior gold producer with 1.1M ounces of annual production [1][2]. Revenue grew from $4M in 2021 to $1.30B TTM, reflecting the transformation from single-mine junior to multi-asset mid-tier producer. AI Deployment (0/2): No AI-powered products or quantified AI-driven operational efficiencies reported; mining operations rely on traditional geological expertise and engineering. Market Share (1/2): Production guidance of 340,000-360,000 ounces positioned Orla as a meaningful mid-tier producer, and the completed Equinox merger created the second-largest Canadian gold producer — a significant step-up in scale and market relevance [2]. Pipeline (1/2): South Railroad project in Nevada advancing through development, Cerro Quema in Panama provides additional optionality, and the Equinox merger adds multiple operating mines including Greenstone and Valentine [2]. R&amp;D Intensity (0/1): Mining companies do not have traditional R&amp;D spending; exploration budgets are the functional equivalent but not differentiated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Orla Mining's articulated purpose centered on 'disciplined growth and responsible operations,' which is operationally focused language interchangeable with any mining company — it identifies competence but does not articulate a deeper purpose beyond growing a gold mining business [3]. Community Impact (0/2): Orla operated in communities in Mexico and Canada and engaged with unions and local stakeholders, but no specific charitable programs, community development initiatives, or foundation activities were identified with quantifiable impact. Employee Retention (0/2): No publicly available retention data, tenure metrics, or employee engagement scores. Labor relations at Camino Rojo involved union negotiations, which is normal for mining but does not indicate standout cultural practices. Insider Buying (1/2): CEO Jason Simpson exercised options to purchase 149,000 shares in May 2026 and directly held 2.07 million shares worth CA$28.74M (0.6% of the company) — a meaningful personal stake [3]. However, option exercises at below-market strike prices are less convincing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exceptional metrics across all available dimensions. Debt-to-equity of 43% is well below the 70% target [4]. ROE of 41.97% is nearly 3x the 15% target, reflecting exceptional capital efficiency from the low-cost Camino Rojo operation. TTM profit margin of approximately 19.4% ($252M net income on $1.30B revenue) approaches the 20% target [1]. Revenue growth YoY of 210.6% (driven by the Musselwhite acquisition and gold price strength) far exceeds the 10% target. Forward P/E of 4.93 is dramatically below the 20 target — one of the lowest valuations in the gold mining sector, reflecting merger uncertainty at the time [4]. PEG ratio unavailable and excluded. Every available metric scores at or near 1.0, producing a maximum infrastructure score. Note: ORLA was delisted July 31, 2026 following the Equinox Gold merger; these metrics reflect the last available trading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Orla Mining was a well-executed growth story — transforming from a single-mine junior to a multi-asset producer merging into a senior gold company — but it operated primarily with a finite game mindset. The company's purpose was operational excellence and value creation through gold mining, not a deeper cause that transcends any single mine or market cycle. CEO Simpson's leadership was effective and disciplined, but strategic decisions were driven by financial logic rather than a Just Cause that would define an infinite game player.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Orla Mining did not articulate a Just Cause in Sinek's framework. The company's purpose — mining gold through disciplined growth and responsible operations — is fundamentally about extracting value from mineral deposits [3]. Gold mining is inherently a depleting-asset business where each mine has a finite life, creating structural tension with infinite game thinking. The Equinox merger tagline 'Built to Grow, Built to Last' suggests durability aspirations but is marketing language, not a vision of a future state so appealing that people would sacrifice to advance 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Limited data on organizational culture. Labor relations at Camino Rojo involved negotiations with unions and federal labor authorities, suggesting some organizational tension [3]. No employee engagement data, voluntary turnover metrics, or cultural practice information was identified. The Equinox merger introduced significant organizational uncertainty and potential team disruption for the approximately 1,085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Orla competed with other mid-tier gold producers (Alamos Gold, Lundin Gold, B2Gold) but positioned itself through operational metrics (AISC, production growth) rather than learning from competitors. The Equinox merger was framed as creating scale advantages rather than competitive learning. No evidence of the infinite competitive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Orla demonstrated meaningful strategic evolution — from a single-mine exploration/development company to a multi-asset producer through the Musselwhite acquisition, and then to a senior gold producer through the Equinox merger [2]. Each step expanded scale and geographic diversification across Mexico, Canada, the United States, and Panama. However, the company never fundamentally changed what it does (mine gold); the pivots were about scale and asset quality rather than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Jason Simpson executed two transformative deals in 15 months — the bold Musselwhite acquisition from Newmont in February 2025 and the Equinox merger in May 2026 — requiring significant capital commitment and integration risk [2][3]. However, both deals were executed during a sustained gold bull market with strong commodity prices, reducing the risk relative to counter-cyclical bets that Sinek would value more highly.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Orla Mining combined exceptional current financials with a transformative merger catalyst before its delisting. TTM revenue reached $1.30B (+210.6%) with net income of $252M and ROE of 41.97% — driven by the Musselwhite acquisition and sustained gold prices above $2,400/oz [1][4]. The forward P/E of 4.93 represented one of the lowest valuations in the gold mining sector. The completed Equinox Gold merger created North America's second-largest Canadian gold producer with 1.1 million ounces of annual production, $18.5B implied market cap, and approximately $1.4B in projected free cash flow [2]. ORLA was delisted from NYSE American on July 31, 2026 following merger completion; shareholders received EQX shares according to the merger exchange ratio.</w:t>
      </w:r>
    </w:p>
    <w:p>
      <w:pPr>
        <w:spacing w:after="120"/>
      </w:pPr>
      <w:r>
        <w:rPr>
          <w:rFonts w:ascii="Calibri" w:hAnsi="Calibri"/>
          <w:b w:val="0"/>
          <w:color w:val="3A4A28"/>
          <w:sz w:val="20"/>
        </w:rPr>
        <w:t>The risks that existed at screening centered on execution and commodity dependency. The Equinox merger created integration complexity across five countries (Canada, Mexico, Nicaragua, United States, Panama) with different regulatory frameworks, labor relations, and operational challenges [2]. Gold price dependency was acute — the exceptional financial metrics were driven by gold above $2,400/oz, and any sustained decline would compress margins and earnings dramatically. Revenue growth of 210.6% was substantially acquisition-driven (Musselwhite) and not repeatable organically [1]. The IOWN Infinite Game and Inspiration scores were low (2 and 2 respectively), reflecting the absence of purpose-driven leadership and organizational culture beyond operational execution. For investors, the value proposition now resides in EQX shares following the merger completion.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Equinox Gold merger completed July 2026, creating an $18.5B senior gold producer with 1.1M ounces of annual production — ORLA shareholders received EQX shares, and any post-merger synergies would accrue to the combined entity [2]</w:t>
      </w:r>
    </w:p>
    <w:p>
      <w:pPr>
        <w:spacing w:before="40" w:after="40"/>
        <w:ind w:left="283"/>
      </w:pPr>
      <w:r>
        <w:rPr>
          <w:rFonts w:ascii="Calibri" w:hAnsi="Calibri"/>
          <w:b/>
          <w:color w:val="4A6B25"/>
          <w:sz w:val="20"/>
        </w:rPr>
        <w:t xml:space="preserve">2. </w:t>
      </w:r>
      <w:r>
        <w:rPr>
          <w:rFonts w:ascii="Calibri" w:hAnsi="Calibri"/>
          <w:b w:val="0"/>
          <w:color w:val="3A4A28"/>
          <w:sz w:val="20"/>
        </w:rPr>
        <w:t>South Railroad project advancement in Nevada adding a high-quality US-based gold asset to the combined portfolio, diversifying production away from single-country concentration</w:t>
      </w:r>
    </w:p>
    <w:p>
      <w:pPr>
        <w:spacing w:before="40" w:after="40"/>
        <w:ind w:left="283"/>
      </w:pPr>
      <w:r>
        <w:rPr>
          <w:rFonts w:ascii="Calibri" w:hAnsi="Calibri"/>
          <w:b/>
          <w:color w:val="4A6B25"/>
          <w:sz w:val="20"/>
        </w:rPr>
        <w:t xml:space="preserve">3. </w:t>
      </w:r>
      <w:r>
        <w:rPr>
          <w:rFonts w:ascii="Calibri" w:hAnsi="Calibri"/>
          <w:b w:val="0"/>
          <w:color w:val="3A4A28"/>
          <w:sz w:val="20"/>
        </w:rPr>
        <w:t>Sustained gold price environment above $2,400/oz combined with low AISC generating strong free cash flow for the combined entity, supporting dividends and growth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Equinox Gold merger integration risk across five countries with different regulatory, labor, and operational environments — execution failure could destroy combined value and distract management [2]</w:t>
      </w:r>
    </w:p>
    <w:p>
      <w:pPr>
        <w:spacing w:before="40" w:after="40"/>
        <w:ind w:left="283"/>
      </w:pPr>
      <w:r>
        <w:rPr>
          <w:rFonts w:ascii="Calibri" w:hAnsi="Calibri"/>
          <w:b/>
          <w:color w:val="4A6B25"/>
          <w:sz w:val="20"/>
        </w:rPr>
        <w:t xml:space="preserve">2. </w:t>
      </w:r>
      <w:r>
        <w:rPr>
          <w:rFonts w:ascii="Calibri" w:hAnsi="Calibri"/>
          <w:b w:val="0"/>
          <w:color w:val="3A4A28"/>
          <w:sz w:val="20"/>
        </w:rPr>
        <w:t>Gold price dependency — forward P/E of 4.93 reflected current gold prices above $2,400/oz; a sustained decline to $1,800/oz would compress earnings by 40-50% for the combined entity</w:t>
      </w:r>
    </w:p>
    <w:p>
      <w:pPr>
        <w:spacing w:before="40" w:after="40"/>
        <w:ind w:left="283"/>
      </w:pPr>
      <w:r>
        <w:rPr>
          <w:rFonts w:ascii="Calibri" w:hAnsi="Calibri"/>
          <w:b/>
          <w:color w:val="4A6B25"/>
          <w:sz w:val="20"/>
        </w:rPr>
        <w:t xml:space="preserve">3. </w:t>
      </w:r>
      <w:r>
        <w:rPr>
          <w:rFonts w:ascii="Calibri" w:hAnsi="Calibri"/>
          <w:b w:val="0"/>
          <w:color w:val="3A4A28"/>
          <w:sz w:val="20"/>
        </w:rPr>
        <w:t>Labor and political risk at Camino Rojo — ongoing union negotiations with federal labor authorities and a prior temporary operational shutdown illustrate the operational fragility of Mexican mining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one of the most AI-immune industries in the economy. The core business involves physical extraction of rock from the earth, chemical processing of ore to recover gold, environmental management of tailings and water, heavy equipment operation, geological exploration, and regulatory compliance across multiple jurisdictions [3]. AI cannot dig a mine, operate a heap leach pad, or manage community relations with indigenous communities and labor unions. Mining is deeply regulated by environmental, safety, and mining authorities requiring physical compliance. Furthermore, AI infrastructure buildout increases demand for gold as a monetary asset and safe haven — gold prices benefit from the same macroeconomic uncertainty that drives AI investment. AI Opportunity (0/1): No quantifiable AI-driven revenue. While AI could potentially optimize geological modeling, ore processing, or equipment maintenance, Orla has not reported specific AI implementations generating measurable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ORLA Financials: TTM Revenue $1.30B (+210.6%), Net Income $252M, EPS $0.69, P/E 13.31, Forward P/E 4.93, delisted July 31, 2026 (merged with EQX),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Equinox Gold and Orla Mining Merger Agreement — 1.1M ounces annual production, $18.5B implied market cap, completed July 2026</w:t>
      </w:r>
    </w:p>
    <w:p>
      <w:pPr>
        <w:spacing w:before="20" w:after="20"/>
        <w:ind w:left="170"/>
      </w:pPr>
      <w:r>
        <w:rPr>
          <w:rFonts w:ascii="Calibri" w:hAnsi="Calibri"/>
          <w:b/>
          <w:color w:val="4A6B25"/>
          <w:sz w:val="15"/>
        </w:rPr>
        <w:t xml:space="preserve">3. </w:t>
      </w:r>
      <w:r>
        <w:rPr>
          <w:rFonts w:ascii="Calibri" w:hAnsi="Calibri"/>
          <w:b w:val="0"/>
          <w:color w:val="3A4A28"/>
          <w:sz w:val="17"/>
        </w:rPr>
        <w:t>Orla Mining CEO Jason Simpson — Corporate updates, insider holdings, Camino Rojo and Musselwhite operations,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ORLA Key Statistics: ROE 41.97%, D/E 43%, Profit Margin 19.4%, FCF Yield 10.58%, Dividend Yield 0.32%,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