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OSCR</w:t>
      </w:r>
      <w:r>
        <w:rPr>
          <w:rFonts w:ascii="Calibri" w:hAnsi="Calibri"/>
          <w:b/>
          <w:color w:val="1A2010"/>
          <w:sz w:val="40"/>
        </w:rPr>
        <w:t xml:space="preserve">  Oscar Health, Inc.</w:t>
      </w:r>
    </w:p>
    <w:p>
      <w:pPr>
        <w:spacing w:after="120"/>
      </w:pPr>
      <w:r>
        <w:rPr>
          <w:rFonts w:ascii="Calibri" w:hAnsi="Calibri"/>
          <w:b/>
          <w:color w:val="6E8450"/>
          <w:sz w:val="18"/>
        </w:rPr>
        <w:t>GROWTH SLEEVE · 2026-10-16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NYSE · United States</w:t>
      </w:r>
    </w:p>
    <w:p>
      <w:pPr>
        <w:spacing w:after="80"/>
      </w:pPr>
      <w:r>
        <w:rPr>
          <w:rFonts w:ascii="Calibri" w:hAnsi="Calibri"/>
          <w:b w:val="0"/>
          <w:color w:val="3A4A28"/>
          <w:sz w:val="20"/>
        </w:rPr>
        <w:t>Oscar Health is a technology-driven health insurance company offering individual, small group, and Medicare Advantage plans through a digital-first platform. Q2 2026 revenue reached $4.9B (+70% YoY) with membership growing to 3.0M lives (+46% YoY). H1 2026 generated $1.1B in earnings from operations and $1B in net income, prompting a $250M raise to full-year EFO guidance of $500-700M. The company deploys AI across 20+ use cases including its Oswell personal AI agent. Founded in 2012, headquartered in New York.</w:t>
      </w:r>
    </w:p>
    <w:p>
      <w:r>
        <w:rPr>
          <w:rFonts w:ascii="Calibri" w:hAnsi="Calibri"/>
          <w:b/>
          <w:color w:val="6E8450"/>
          <w:sz w:val="18"/>
        </w:rPr>
        <w:t>3,500 Employees · https://www.hioscar.com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Oscar transformed from a venture-backed ACA-only insurer into a $19B revenue technology-driven health platform, pioneering the digital-first model that legacy carriers now scramble to replicate [1]. Q2 2026 revenue of $4.9B (+70% YoY) and membership of 3.0M (+46%) validate scalability, and the +Oscar platform licensing to other payers opened a new revenue stream beyond traditional underwriting. AI Deployment (2/2): Oscar has deployed 20+ AI models operationally, with CEO Mark Bertolini crediting large language models for a 1,660 basis point reduction in operating costs — one of the most quantified AI deployments in the health insurance industry [2]. Ten additional AI models are rolling out in 2026 targeting claims automation, care path optimization, and member navigation. Market Share (1/2): Oscar is the fastest-growing ACA marketplace insurer by membership growth (46% YoY), but remains small versus UnitedHealth (50M+ lives), Elevance (47M+), and CVS/Aetna in the $4.5 trillion U.S. health insurance market [1]. Product Pipeline (1/2): Expansion into small group, Medicare Advantage, and +Oscar technology licensing broadens the addressable market, but no transformative next-generation product with specific launch dates has been announced beyond current initiatives [2]. R&amp;D Intensity (1/1): As a technology-first insurer, Oscar invests disproportionately in engineering relative to traditional insurance peers, with technology as the core differentiator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Oscar's mission to make a healthier life accessible and affordable for all is genuine and validated by consistent execution — expanding coverage in underserved ACA markets and launching the Culturally Competent Care Program to address healthcare disparities [3]. CEO Mark Bertolini's personal experience with catastrophic injury and the healthcare system deepens the authenticity of Oscar's purpose, and strategic decisions including market entry choices clearly trace to this mission. Community Impact (1/2): The Culturally Competent Care Program provides tailored support for diverse populations, and Oscar's ACA marketplace focus inherently serves underserved communities [3]. The company released its first ESG report in 2023 covering community grants and affordability programs, but investment remains modest relative to its rapidly growing scale. Employee Retention (1/2): Oscar maintains a technology-forward startup culture with integrated engineering and insurance operations teams; Glassdoor reviews present mixed signals with some employees citing mission-driven culture while others describe leadership challenges and strategic direction changes [2]. Co-founder Mario Schlosser's June 2026 transition from CTO to advisory role raises cultural continuity questions. Insider Buying (0/2): No evidence of meaningful net insider buying by CEO Bertolini or senior executives in the last 12 months; insider transaction data was not available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23.5% is far below the 70% target (score 1.0), reflecting conservative leverage [4]. ROE of 34.3% exceeds the 15% target (score 1.0, 2x weight), demonstrating improving capital efficiency as the company scales into profitability [4]. Revenue growth YoY of 70.4% scores 1.0, and estimated 5-year revenue CAGR of ~47% also scores 1.0 (2x weight), driven by membership growth from ~500K in 2021 to 3.0M in mid-2026 [1]. Forward P/E of 15.07 is well below the 20 target (score 1.0) [4]. The sole weakness is trailing profit margin of 3.6% (score 0.18), far below the 20% target, reflecting health insurance's thin-margin economics where ACA MLR regulations cap profitability [1]. PEG ratio unavailable from yfinance; excluded from calculation. Daily dollar volume of ~$177M easily clears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Oscar demonstrates genuine purpose in democratizing healthcare access through technology, with a mission validated by consistent expansion into underserved markets and years of sustained losses while building the platform. CEO Bertolini brings an infinite game mindset forged during his Aetna tenure. The H1 2026 profitability inflection validates the long-term bet. However, the company is too young for multi-decade cause validation, co-founder CTO transition introduces uncertainty, and mixed Glassdoor reviews suggest organizational challenges at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Oscar's mission to make a healthier life accessible and affordable through technology is genuine and has shaped strategic decisions — choosing to build proprietary technology rather than outsource, persisting in the ACA marketplace when competitors retreated, and expanding via platform licensing rather than pure premium growth [1][3]. CEO Bertolini's personal experience with catastrophic injury deepens the cause's authenticity. The H1 2026 profitability inflection ($1B net income) vindicates the long-term commitment [1]. However, Oscar is only 14 years old and just turned sustainably profitable — the cause has not been tested through multi-decade cycles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Oscar maintains a startup-oriented culture emphasizing agility and cross-functional collaboration, with technology teams integrated alongside insurance operations [2]. CEO Bertolini's background leading Aetna's cultural transformation (introducing mindfulness programs, raising minimum wages) suggests attention to organizational health. However, Glassdoor reviews present mixed signals — some employees cite mission-driven culture while others describe leadership challenges and strategic direction changes [2]. Co-founder Schlosser's transition to advisory role removes a cultural anchor during critical scaling.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Oscar's management consistently acknowledges UnitedHealth, Elevance, and other traditional insurers as worthy competitors whose scale, network depth, and data advantages push Oscar to improve its technology platform [1]. Bertolini's deep familiarity with the competitive landscape from his Aetna tenure ensures Oscar engages with rivals constructively, framing competition as motivation to build better technology rather than a war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Oscar has evolved from a narrow ACA individual marketplace insurer into a broader health platform offering small group plans, Medicare Advantage, and the +Oscar technology licensing model that allows other insurers to leverage Oscar's infrastructure [1]. This strategic broadening expanded the addressable market and demonstrates willingness to adapt the business model in service of the mission. However, the core business remains health insurance — no transformative pivot abandoning a profitable business in service of the cause has been executed.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Oscar sustained years of cumulative losses exceeding $1B while investing in its technology platform, resisting pressure to cut R&amp;D spending when Wall Street demanded profitability [1]. The decision to pursue aggressive membership growth to 3.0M while simultaneously proving profitability requires conviction. Management raised 2026 guidance by $250M, signaling confidence in the operating model [1]. However, no costly principle-driven decision that sacrificed near-term earnings for long-term values was identified beyond the original founding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Oscar Health at $33.47 is executing a remarkable profitability inflection — H1 2026 generated $1.1B in earnings from operations and $1B in net income on revenue of $9.53B (up 61% YoY), prompting management to raise full-year EFO guidance by $250M to $500-700M [1]. Q2 2026 revenue of $4.9B (+70% YoY) and membership of 3.0M (+46%) demonstrate both top-line momentum and pricing discipline, with MLR improving 12 percentage points YoY to 79.2% [1]. The 20+ deployed AI models driving a 1,660 bps operating cost reduction represent a structural advantage over legacy carriers, and the +Oscar technology licensing extends the growth runway beyond insurance underwriting [2]. At 15.1x forward earnings with revenue growing 70%, the valuation is attractive relative to health insurance peers trading at 18-22x forward. Inspire ALIGNED score (31) is favorable for faith-based investors.</w:t>
      </w:r>
    </w:p>
    <w:p>
      <w:pPr>
        <w:spacing w:after="120"/>
      </w:pPr>
      <w:r>
        <w:rPr>
          <w:rFonts w:ascii="Calibri" w:hAnsi="Calibri"/>
          <w:b w:val="0"/>
          <w:color w:val="3A4A28"/>
          <w:sz w:val="20"/>
        </w:rPr>
        <w:t>The primary risk is earnings sustainability and regulatory concentration. The EFO guidance of $500-700M for the full year, despite H1 already delivering $1.1B, suggests management expects material H2 compression — and MLR guidance of 81.5-82.5% implies margin deterioration from Q2's 79.2% [1]. Trailing profit margin of just 3.6% leaves minimal buffer against medical cost inflation running at 7-8% annually, and the ACA's 80% MLR floor structurally caps upside. Oscar derives virtually all revenue from the ACA individual marketplace, making it acutely vulnerable to subsidy changes — enhanced premium subsidies face expiration risk, which could reduce enrollment by millions nationally and disproportionately impact Oscar's membership base [4]. Co-founder/CTO Mario Schlosser's June 2026 transition to advisory role raises questions about technology leadership continuity during the critical period when AI differentiation matters most [2]. Competition from UnitedHealth, Elevance, and CVS/Aetna intensifies as incumbents accelerate digital transformation with deeper data moats.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guidance of $18.7-19.0B with raised EFO guidance of $500-700M validates profitability inflection — continued execution could drive re-rating as market prices in sustained earnings power [1]</w:t>
      </w:r>
    </w:p>
    <w:p>
      <w:pPr>
        <w:spacing w:before="40" w:after="40"/>
        <w:ind w:left="283"/>
      </w:pPr>
      <w:r>
        <w:rPr>
          <w:rFonts w:ascii="Calibri" w:hAnsi="Calibri"/>
          <w:b/>
          <w:color w:val="4A6B25"/>
          <w:sz w:val="20"/>
        </w:rPr>
        <w:t xml:space="preserve">2. </w:t>
      </w:r>
      <w:r>
        <w:rPr>
          <w:rFonts w:ascii="Calibri" w:hAnsi="Calibri"/>
          <w:b w:val="0"/>
          <w:color w:val="3A4A28"/>
          <w:sz w:val="20"/>
        </w:rPr>
        <w:t>20+ deployed AI models with 1,660 bps demonstrated operating cost savings and 10 additional models rolling out in 2026 create compounding efficiency gains that widen the structural cost advantage over legacy carriers [2]</w:t>
      </w:r>
    </w:p>
    <w:p>
      <w:pPr>
        <w:spacing w:before="40" w:after="40"/>
        <w:ind w:left="283"/>
      </w:pPr>
      <w:r>
        <w:rPr>
          <w:rFonts w:ascii="Calibri" w:hAnsi="Calibri"/>
          <w:b/>
          <w:color w:val="4A6B25"/>
          <w:sz w:val="20"/>
        </w:rPr>
        <w:t xml:space="preserve">3. </w:t>
      </w:r>
      <w:r>
        <w:rPr>
          <w:rFonts w:ascii="Calibri" w:hAnsi="Calibri"/>
          <w:b w:val="0"/>
          <w:color w:val="3A4A28"/>
          <w:sz w:val="20"/>
        </w:rPr>
        <w:t>Membership growth to 3.0M (+46% YoY) with expansion into small group, Medicare Advantage, and +Oscar platform licensing broadens the addressable market and reduces ACA concentration risk over time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ACA policy concentration risk — virtually all 3.0M members depend on marketplace exchange subsidies, exposing Oscar to subsidy expiration, exchange regulation changes, or Medicaid redetermination dynamics that could reduce enrollment by 15-20% [4]</w:t>
      </w:r>
    </w:p>
    <w:p>
      <w:pPr>
        <w:spacing w:before="40" w:after="40"/>
        <w:ind w:left="283"/>
      </w:pPr>
      <w:r>
        <w:rPr>
          <w:rFonts w:ascii="Calibri" w:hAnsi="Calibri"/>
          <w:b/>
          <w:color w:val="4A6B25"/>
          <w:sz w:val="20"/>
        </w:rPr>
        <w:t xml:space="preserve">2. </w:t>
      </w:r>
      <w:r>
        <w:rPr>
          <w:rFonts w:ascii="Calibri" w:hAnsi="Calibri"/>
          <w:b w:val="0"/>
          <w:color w:val="3A4A28"/>
          <w:sz w:val="20"/>
        </w:rPr>
        <w:t>Razor-thin 3.6% trailing profit margin with MLR near the 80% ACA floor leaves no buffer against medical cost inflation at 7-8% annually — H2 2026 MLR guidance of 81.5-82.5% already implies material compression from Q2's 79.2% [1]</w:t>
      </w:r>
    </w:p>
    <w:p>
      <w:pPr>
        <w:spacing w:before="40" w:after="40"/>
        <w:ind w:left="283"/>
      </w:pPr>
      <w:r>
        <w:rPr>
          <w:rFonts w:ascii="Calibri" w:hAnsi="Calibri"/>
          <w:b/>
          <w:color w:val="4A6B25"/>
          <w:sz w:val="20"/>
        </w:rPr>
        <w:t xml:space="preserve">3. </w:t>
      </w:r>
      <w:r>
        <w:rPr>
          <w:rFonts w:ascii="Calibri" w:hAnsi="Calibri"/>
          <w:b w:val="0"/>
          <w:color w:val="3A4A28"/>
          <w:sz w:val="20"/>
        </w:rPr>
        <w:t>Technology leadership transition risk as co-founder/CTO Mario Schlosser moves to advisory role and mixed Glassdoor reviews signal organizational challenges during the critical scaling phase from startup to $19B enterprise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Health insurance is deeply protected from AI disruption by regulatory barriers (state-by-state licensing, CMS compliance, actuarial requirements), physical-world complexity (provider network negotiations, care coordination), and capital requirements (risk-based capital reserves, MLR mandates) [4]. Oscar's digital-first model positions it as an AI beneficiary rather than a target — its technology platform was built to leverage AI natively, giving it an advantage over legacy carriers bolting on AI capabilities [2]. The primary risk is that large incumbents like UnitedHealth could deploy AI at greater scale given data advantages across 150M+ covered lives, potentially narrowing Oscar's technology edge over time. AI Opportunity (1/1): Oscar's 20+ deployed AI models and the Oswell personal AI agent represent meaningful AI-driven value creation [2]. CEO Bertolini quantified a 1,660 bps reduction in operating costs from LLM deployment, and the +Oscar platform licenses AI-powered tools to other insurers as a revenue stream, making AI integral to both cost structure and top-line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Oscar Health Q2 2026 Earnings — Revenue $4.9B (+70% YoY), 3.0M Members (+46%), MLR 79.2%, H1 EFO $1.1B, Raised Guidance to $500-700M — Fierce Healthcare,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Oscar Health AI Strategy and Leadership — CEO Bertolini on 20+ AI Models, 1,660 bps Cost Reduction, Mario Schlosser CTO Transition, Oswell AI Agent — Kalkine, Fierce Healthcare, BusinessWire, 2025-2026</w:t>
      </w:r>
    </w:p>
    <w:p>
      <w:pPr>
        <w:spacing w:before="20" w:after="20"/>
        <w:ind w:left="170"/>
      </w:pPr>
      <w:r>
        <w:rPr>
          <w:rFonts w:ascii="Calibri" w:hAnsi="Calibri"/>
          <w:b/>
          <w:color w:val="4A6B25"/>
          <w:sz w:val="15"/>
        </w:rPr>
        <w:t xml:space="preserve">3. </w:t>
      </w:r>
      <w:r>
        <w:rPr>
          <w:rFonts w:ascii="Calibri" w:hAnsi="Calibri"/>
          <w:b w:val="0"/>
          <w:color w:val="3A4A28"/>
          <w:sz w:val="17"/>
        </w:rPr>
        <w:t>Oscar Health Mission and ESG — Culturally Competent Care Program, Healthcare Access Mission, 2022 ESG Report — BusinessWire, SEC Filings, 2023-2026</w:t>
      </w:r>
    </w:p>
    <w:p>
      <w:pPr>
        <w:spacing w:before="20" w:after="20"/>
        <w:ind w:left="170"/>
      </w:pPr>
      <w:r>
        <w:rPr>
          <w:rFonts w:ascii="Calibri" w:hAnsi="Calibri"/>
          <w:b/>
          <w:color w:val="4A6B25"/>
          <w:sz w:val="15"/>
        </w:rPr>
        <w:t xml:space="preserve">4. </w:t>
      </w:r>
      <w:r>
        <w:rPr>
          <w:rFonts w:ascii="Calibri" w:hAnsi="Calibri"/>
          <w:b w:val="0"/>
          <w:color w:val="3A4A28"/>
          <w:sz w:val="17"/>
        </w:rPr>
        <w:t>Oscar Health FY2025 10-K and Financial Data — ACA Market Concentration, Regulatory Risk Disclosures, Key Statistics — SEC Filing,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