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OSRH</w:t>
      </w:r>
      <w:r>
        <w:rPr>
          <w:rFonts w:ascii="Calibri" w:hAnsi="Calibri"/>
          <w:b/>
          <w:color w:val="1A2010"/>
          <w:sz w:val="40"/>
        </w:rPr>
        <w:t xml:space="preserve">  OSR Health, Inc.</w:t>
      </w:r>
    </w:p>
    <w:p>
      <w:pPr>
        <w:spacing w:after="120"/>
      </w:pPr>
      <w:r>
        <w:rPr>
          <w:rFonts w:ascii="Calibri" w:hAnsi="Calibri"/>
          <w:b/>
          <w:color w:val="6E8450"/>
          <w:sz w:val="18"/>
        </w:rPr>
        <w:t>GROWTH SLEEVE · 2026-09-22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OTC Pink Sheets · United States</w:t>
      </w:r>
    </w:p>
    <w:p>
      <w:pPr>
        <w:spacing w:after="80"/>
      </w:pPr>
      <w:r>
        <w:rPr>
          <w:rFonts w:ascii="Calibri" w:hAnsi="Calibri"/>
          <w:b w:val="0"/>
          <w:color w:val="3A4A28"/>
          <w:sz w:val="20"/>
        </w:rPr>
        <w:t>OSR Health, Inc. (formerly OSR Holdings, Inc., renamed June 2026) is a global healthcare holding company operating across immuno-oncology, regenerative biologics, and medical device technologies. Key assets include Vaximm AG (oral T-cell immunotherapy platform with VXM01 targeting glioblastoma, out-licensed with up to $815M in potential milestones), Woori IO (noninvasive glucose monitoring platform with Samsung collaboration), and South Korean subsidiary operations in regenerative medicine. Went public via SPAC in February 2025, subsequently delisted from Nasdaq for bid price noncompliance and now trades on OTC Pink Sheets at $0.25 with a market cap of $8.6M.</w:t>
      </w:r>
    </w:p>
    <w:p>
      <w:r>
        <w:rPr>
          <w:rFonts w:ascii="Calibri" w:hAnsi="Calibri"/>
          <w:b/>
          <w:color w:val="6E8450"/>
          <w:sz w:val="18"/>
        </w:rPr>
        <w:t>22 Employees · https://osr-holdings.com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OSR Health completed its business combination in February 2025, making it a newly public entity with no commercial product launches or revenue-generating transformations [1]. The company remains in clinical and preclinical stages across its entire portfolio, with VXM01 for glioblastoma as the most advanced asset having completed Phase 2. Revenue of only $1.8M and declining 72% YoY demonstrates no commercial traction [3]. AI Deployment (0/2): No evidence of AI-powered products or AI-driven internal efficiencies; the company's immunotherapy and biologics development relies on traditional approaches without disclosed AI integration [2]. Market Share (0/2): No commercial products generating meaningful therapeutic revenue — $1.8M trailing revenue comes from subsidiary services, not product sales. Zero market share in any therapeutic category. Product Pipeline (1/2): The VXM01 oral T-cell immunotherapy platform was out-licensed with up to $815M in potential milestones, validating the technology [2]. The Woori IO noninvasive glucose monitoring platform has strategic engagements with Samsung. DRT-102 is a clinical-stage asset for spinal fusion. However, specific commercialization timelines remain uncertain across all assets. R&amp;D Intensity (1/1): As a clinical-stage biotech, virtually all spending is directed toward R&amp;D and clinical development, consistent with the pre-commercial biotech model.</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OSR Health articulates a mission to advance biomedical innovations in health and wellness to improve health outcomes worldwide, guided by integrity, transparency, and partnership [2]. This is clear and connects to patient outcomes, but it is a standard biotech mission statement — not distinctively inspirational or validated by any commercial execution. Community Impact (0/2): No evidence of charitable programs, community investment, or philanthropic initiatives beyond standard corporate governance for a 22-person company. Employee Retention (0/2): With only 22 employees and recent leadership changes (CEO Peter Hwang since February 2025, CSO Dr. Constance Hofer from Merck Healthcare since March 2025), there is no track record of retention or cultural distinction [2]. Insider Buying (0/2): No evidence of meaningful net insider buying. CEO's June 2026 shareholder letter promoted a $5 share price target and 6x return thesis, which reads as promotional messaging rather than demonstrated personal financial conviction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While the reported average daily volume of 9.9M shares × $0.246 = $2.45M technically clears the $1M liquidity floor, the stock now trades on OTC Pink Sheets following Nasdaq delisting for bid price noncompliance, making it effectively untradeable for institutional investors [3][4]. The underlying financials are catastrophic: revenue of $1.8M declining 72% YoY, ROE of -11.3%, and deep net losses against an $8.6M market cap [3]. D/E of 4.4% is the sole bright spot, reflecting minimal debt. Forward P/E, PEG, and revenue growth 5yr CAGR are all unavailable due to no analyst coverage and the company's nascent public history. Profit margin is effectively negative (net losses far exceed revenue). The company must raise dilutive capital to fund ongoing operations at punishing penny-stock valuations.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OSR Health is a financially distressed micro-cap biotech in survival mode. As a recently public entity with 22 employees, $8.6M market cap (down from $15.7M), cash burn exceeding its enterprise value, and now delisted from Nasdaq to OTC Pink Sheets, the company has no foundation for infinite game thinking. The CEO's promotional messaging about 6x returns and $5 share price targets reflects finite, quarter-to-quarter thinking focused on stock price rather than building to endure [4].</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OSR Health's stated mission to advance biomedical innovations for health outcomes reflects genuine scientific ambition, and the immuno-oncology pipeline targeting glioblastoma connects to meaningful unmet medical need [2]. However, the company is too young and financially distressed to have validated this cause through consistent execution. The CEO's shareholder letter emphasizes short-term price targets and return multiples rather than advancing a cause — 'hold for a year, hit $5 share price, get 6x your original position' is finite-game language [4].</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approximately 22 employees across the US, Switzerland, and South Korea, there is insufficient organizational scale to evaluate trust dynamics [2]. The company underwent a SPAC business combination in 2025, a name change in June 2026, Nasdaq delisting, and a 57% stock price decline from $0.57 to $0.246 — this level of organizational instability precludes the formation of trusting teams in Sinek's framework.</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The company competes in immuno-oncology against formidable rivals (BioNTech, Moderna, major pharma) but there is no evidence of management acknowledging competitors' strengths as motivation for self-improvement or framing competition as an opportunity to learn.</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The company is too young and small to have faced a true test of existential flexibility. The SPAC business combination and subsequent VXM01 licensing deal are formative transactions for a new entity rather than pivots from an established position [1]. The name change from OSR Holdings to OSR Health in June 2026 is cosmetic, not strategic. No evidence of transformative business model reinvention.</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long-term investments or strategic sacrifices. The company was delisted from Nasdaq for bid price noncompliance and now trades on OTC Pink Sheets at $0.246 — a survival posture, not a position from which to make courageous bets [4]. The VXM01 licensing deal represents pragmatic value extraction from the most advanced asset rather than a bold investment in future capability. Hiring CSO Dr. Hofer from Merck Healthcare was a smart move but not a courageous sacrifice.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OSR Health's investment case rests entirely on milestone optionality from the VXM01 licensing deal structured with up to $815M in potential payments, plus the Woori IO noninvasive glucose monitoring platform with Samsung strategic engagement [2]. At an $8.6M market cap, any meaningful milestone payment or clinical advancement could drive outsized percentage returns from the extremely depressed base. The D/E of only 4.4% means minimal debt overhang. The appointment of CSO Dr. Constance Hofer from Merck Healthcare (March 2025) adds scientific credibility to the pipeline strategy. The portfolio spanning immuno-oncology (VXM01), regenerative biologics (DRT-102 for spinal fusion), and medical devices (Woori IO glucose monitoring) provides diversification within healthcare.</w:t>
      </w:r>
    </w:p>
    <w:p>
      <w:pPr>
        <w:spacing w:after="120"/>
      </w:pPr>
      <w:r>
        <w:rPr>
          <w:rFonts w:ascii="Calibri" w:hAnsi="Calibri"/>
          <w:b w:val="0"/>
          <w:color w:val="3A4A28"/>
          <w:sz w:val="20"/>
        </w:rPr>
        <w:t>The bear case is overwhelming and multi-dimensional. OSRH has been delisted from Nasdaq for bid price noncompliance and now trades on OTC Pink Sheets at $0.246 — a 57% decline from the prior screen's $0.57, with market cap shrinking from $15.7M to $8.6M [3][4]. Revenue of $1.8M declined 72% YoY with deep net losses ($27.1M annualized) that exceed the entire market capitalization by 3x, meaning the company is burning cash faster than it is worth [3]. ROE of -11.3% and no path to profitability make the stock uninvestable by fundamental standards. The $815M VXM01 milestone headline is a theoretical maximum that depends entirely on the licensee's execution, not OSR Health's. Dilution risk is extreme — the company must raise capital to fund ongoing operations, likely at severely punishing terms given the penny-stock OTC valuation. CEO promotional messaging about $5 share price targets while the stock trades at $0.25 raises governance credibility concerns [4]. This is a speculative pre-revenue micro-cap unsuitable for IOWN's return-on-intention framework.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VXM01 licensing deal milestone payments — the $815M potential milestone structure could deliver meaningful near-term cash if the licensee advances the program through clinical development stages [2]</w:t>
      </w:r>
    </w:p>
    <w:p>
      <w:pPr>
        <w:spacing w:before="40" w:after="40"/>
        <w:ind w:left="283"/>
      </w:pPr>
      <w:r>
        <w:rPr>
          <w:rFonts w:ascii="Calibri" w:hAnsi="Calibri"/>
          <w:b/>
          <w:color w:val="4A6B25"/>
          <w:sz w:val="20"/>
        </w:rPr>
        <w:t xml:space="preserve">2. </w:t>
      </w:r>
      <w:r>
        <w:rPr>
          <w:rFonts w:ascii="Calibri" w:hAnsi="Calibri"/>
          <w:b w:val="0"/>
          <w:color w:val="3A4A28"/>
          <w:sz w:val="20"/>
        </w:rPr>
        <w:t>Woori IO noninvasive glucose monitoring platform advancement with Samsung strategic engagement, targeting a large addressable market in diabetes management [2]</w:t>
      </w:r>
    </w:p>
    <w:p>
      <w:pPr>
        <w:spacing w:before="40" w:after="40"/>
        <w:ind w:left="283"/>
      </w:pPr>
      <w:r>
        <w:rPr>
          <w:rFonts w:ascii="Calibri" w:hAnsi="Calibri"/>
          <w:b/>
          <w:color w:val="4A6B25"/>
          <w:sz w:val="20"/>
        </w:rPr>
        <w:t xml:space="preserve">3. </w:t>
      </w:r>
      <w:r>
        <w:rPr>
          <w:rFonts w:ascii="Calibri" w:hAnsi="Calibri"/>
          <w:b w:val="0"/>
          <w:color w:val="3A4A28"/>
          <w:sz w:val="20"/>
        </w:rPr>
        <w:t>DRT-102 clinical-stage regenerative biologic for spinal fusion could generate data readouts that validate the platform and attract partnership interest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Nasdaq delisting to OTC Pink Sheets eliminates institutional investor access and severely impairs liquidity, price discovery, and the company's ability to raise capital on reasonable terms [4]</w:t>
      </w:r>
    </w:p>
    <w:p>
      <w:pPr>
        <w:spacing w:before="40" w:after="40"/>
        <w:ind w:left="283"/>
      </w:pPr>
      <w:r>
        <w:rPr>
          <w:rFonts w:ascii="Calibri" w:hAnsi="Calibri"/>
          <w:b/>
          <w:color w:val="4A6B25"/>
          <w:sz w:val="20"/>
        </w:rPr>
        <w:t xml:space="preserve">2. </w:t>
      </w:r>
      <w:r>
        <w:rPr>
          <w:rFonts w:ascii="Calibri" w:hAnsi="Calibri"/>
          <w:b w:val="0"/>
          <w:color w:val="3A4A28"/>
          <w:sz w:val="20"/>
        </w:rPr>
        <w:t>Annual cash burn of ~$27M against an $8.6M market cap and $1.8M declining revenue (-72% YoY) creates imminent existential risk requiring dilutive capital raises at punishing penny-stock valuations [3]</w:t>
      </w:r>
    </w:p>
    <w:p>
      <w:pPr>
        <w:spacing w:before="40" w:after="40"/>
        <w:ind w:left="283"/>
      </w:pPr>
      <w:r>
        <w:rPr>
          <w:rFonts w:ascii="Calibri" w:hAnsi="Calibri"/>
          <w:b/>
          <w:color w:val="4A6B25"/>
          <w:sz w:val="20"/>
        </w:rPr>
        <w:t xml:space="preserve">3. </w:t>
      </w:r>
      <w:r>
        <w:rPr>
          <w:rFonts w:ascii="Calibri" w:hAnsi="Calibri"/>
          <w:b w:val="0"/>
          <w:color w:val="3A4A28"/>
          <w:sz w:val="20"/>
        </w:rPr>
        <w:t>CEO promotional messaging about $5 share price targets and 6x returns while the stock trades at $0.25 raises governance and credibility concerns — the company has delivered a -57% return since the prior screen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OSR Health's core business — developing physical immunotherapy products, regenerative biologics, and medical devices — involves tangible biological and device-based therapies that AI cannot directly substitute [2]. Clinical trials, manufacturing of biological products, and regulatory processes require human and physical-world execution. However, AI is rapidly transforming drug discovery, clinical trial design, and biomarker identification, meaning AI-native competitors (BioNTech, Moderna, major pharma with AI R&amp;D partnerships) could develop competing immunotherapy and oncology candidates faster and cheaper. For a 22-person company with an $8.6M market cap, the inability to adopt AI-driven drug development tools at scale is itself a competitive vulnerability against well-resourced AI-equipped competitors [3]. AI Opportunity (0/1): No evidence that OSR Health generates any AI-related revenue or has deployed AI in its drug development or device platforms.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OSR Health SEC Filings — 10-Q/10-K, $1.8M revenue (-72% YoY), deep net losses, clinical pipeline status; SEC EDGAR, 2025-2026</w:t>
      </w:r>
    </w:p>
    <w:p>
      <w:pPr>
        <w:spacing w:before="20" w:after="20"/>
        <w:ind w:left="170"/>
      </w:pPr>
      <w:r>
        <w:rPr>
          <w:rFonts w:ascii="Calibri" w:hAnsi="Calibri"/>
          <w:b/>
          <w:color w:val="4A6B25"/>
          <w:sz w:val="15"/>
        </w:rPr>
        <w:t xml:space="preserve">2. </w:t>
      </w:r>
      <w:r>
        <w:rPr>
          <w:rFonts w:ascii="Calibri" w:hAnsi="Calibri"/>
          <w:b w:val="0"/>
          <w:color w:val="3A4A28"/>
          <w:sz w:val="17"/>
        </w:rPr>
        <w:t>OSR Health Corporate Overview — CEO Peter Hwang, CSO Dr. Constance Hofer, VXM01 $815M licensing deal, Woori IO Samsung engagement, Vaximm AG subsidiary; osr-holdings.com, Nasdaq press releases, 2025-2026</w:t>
      </w:r>
    </w:p>
    <w:p>
      <w:pPr>
        <w:spacing w:before="20" w:after="20"/>
        <w:ind w:left="170"/>
      </w:pPr>
      <w:r>
        <w:rPr>
          <w:rFonts w:ascii="Calibri" w:hAnsi="Calibri"/>
          <w:b/>
          <w:color w:val="4A6B25"/>
          <w:sz w:val="15"/>
        </w:rPr>
        <w:t xml:space="preserve">3. </w:t>
      </w:r>
      <w:r>
        <w:rPr>
          <w:rFonts w:ascii="Calibri" w:hAnsi="Calibri"/>
          <w:b w:val="0"/>
          <w:color w:val="3A4A28"/>
          <w:sz w:val="17"/>
        </w:rPr>
        <w:t>Yahoo Finance — OSRH key statistics: Stock Price $0.246, Market Cap $8.6M, D/E 4.37%, ROE -11.29%, Revenue Growth -72.2%, Avg Volume 9.94M;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OSR Health CEO Shareholder Update — Nasdaq delisting, OTC Pink Sheets transfer, $5 price target messaging, company renamed to OSR Health June 2026; AccessNewswire, StockTitan, June-August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