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OSS</w:t>
      </w:r>
      <w:r>
        <w:rPr>
          <w:rFonts w:ascii="Calibri" w:hAnsi="Calibri"/>
          <w:b/>
          <w:color w:val="1A2010"/>
          <w:sz w:val="40"/>
        </w:rPr>
        <w:t xml:space="preserve">  One Stop Systems, Inc.</w:t>
      </w:r>
    </w:p>
    <w:p>
      <w:pPr>
        <w:spacing w:after="120"/>
      </w:pPr>
      <w:r>
        <w:rPr>
          <w:rFonts w:ascii="Calibri" w:hAnsi="Calibri"/>
          <w:b/>
          <w:color w:val="6E8450"/>
          <w:sz w:val="18"/>
        </w:rPr>
        <w:t>GROWTH SLEEVE · 2026-09-10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Rugged Edge Computing · NASDAQ · United States</w:t>
      </w:r>
    </w:p>
    <w:p>
      <w:pPr>
        <w:spacing w:after="80"/>
      </w:pPr>
      <w:r>
        <w:rPr>
          <w:rFonts w:ascii="Calibri" w:hAnsi="Calibri"/>
          <w:b w:val="0"/>
          <w:color w:val="3A4A28"/>
          <w:sz w:val="20"/>
        </w:rPr>
        <w:t>One Stop Systems designs and manufactures rugged, high-performance edge computing systems for AI, machine learning, sensor processing, and autonomy. OSS delivers datacenter-class compute at the edge for defense, aerospace, medical imaging, autonomous vehicles, and energy applications, combining GPUs, CPUs, PCIe switch fabrics, and flash storage for mission-critical platforms in harsh environments. The company divested its Bressner subsidiary in December 2025 to focus entirely on its core rugged edge AI business. Q2 2026 revenue of $9.35M grew 62% YoY as defense and AI demand accelerated.</w:t>
      </w:r>
    </w:p>
    <w:p>
      <w:r>
        <w:rPr>
          <w:rFonts w:ascii="Calibri" w:hAnsi="Calibri"/>
          <w:b/>
          <w:color w:val="6E8450"/>
          <w:sz w:val="18"/>
        </w:rPr>
        <w:t>57 Employees · https://onestopsystems.com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OSS completed the strategic divestiture of its Bressner subsidiary in December 2025 for $22.4M, sharpening focus on rugged Enterprise Class AI edge computing, and launched its PCIe Gen 6.0 product line — including HIB6110 and HIB6310 CopprLink cable adapters delivering up to 1,024 GB/s switched-fabric bandwidth — representing genuine first-to-market capability [1][2]. Q2 2026 revenue of $9.35M (+62% YoY) confirms the refocused business is accelerating [3]. AI Deployment (2/2): OSS products ARE AI computing hardware for edge deployment — GPU-accelerated sensor fusion, deep learning inference, and real-time training on moving platforms. Revenue growth of 55-62% in H1 2026 is directly tied to AI-driven defense, medical imaging, and robotics applications [1][3]. The company generates 100% of its revenue from AI-enabling edge computing hardware. Market Share (1/2): OSS is a meaningful niche player in rugged edge AI compute but at $234M market cap and 57 employees remains a micro-cap with limited market dominance versus larger defense primes and edge computing providers [4]. Pipeline (1/2): The $8.4M initial defense contract with potential $44M over four years, plus a $1.2M pre-production order for U.S. Army combat vehicles, provide specific near-term revenue visibility. Analyst consensus projects 26.6% revenue growth to $40.8M in 2026 [5]. R&amp;D Intensity (1/1): R&amp;D spending is high relative to revenue for a 57-person company focused on next-gen PCIe Gen 6.0, rugged server design, and proprietary software including U-BMC management and Ion Accelerator storage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OSS articulates its purpose as delivering 'high-performance edge computing solutions that accelerate AI where it matters most,' which is clear and identifies both the what (edge AI compute) and the who (defense, medical, autonomous systems) [2]. It is functional and specific but does not articulate a deeper purpose or inspire beyond the technological mission. Community Impact (0/2): No evidence of charitable programs, foundation, or community investment was identified for this 57-employee micro-cap company. Employee Retention (0/2): No employee tenure, turnover, or culture data is publicly available for a company of this size. The headcount reduction from ~103 to 57 employees reflects the Bressner divestiture rather than layoffs, but no positive retention evidence exists. Insider Buying (0/2): No meaningful discretionary insider buying was identified in the last 12 months. Shares outstanding increased significantly (from ~12M to ~25M), suggesting dilutive financing that offsets any insider alignment signals.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The balance sheet remains clean with D/E of 4% and net cash position, providing strong liquidity (current ratio 3.37) for a micro-cap company [4]. However, profitability is highly volatile: FY2025 showed 15.79% profit margin and $5.09M net income, but Q2 2026 posted a -$7.32M net loss on $9.35M revenue — likely from one-time charges or stock-based compensation — driving TTM profit margin to just 3.33% and TTM ROE to -18.59% [3][4]. Forward P/E of 208.67x reflects extremely thin consensus earnings expectations ($0.06 EPS for 2026), scoring 0 on valuation [5]. Revenue growth of 55-62% YoY in H1 2026 is exceptional and scores perfectly, but the 5-year revenue CAGR is not meaningful post-Bressner divestiture (total revenue declined from $51.9M in 2020 to $32.2M in 2025 due to the restructuring) and is excluded from scoring [3]. Liquidity floor clears: 661K avg volume x $9.39 = ~$6.2M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OSS operates with a technically competent but finite mindset typical of small defense technology companies. The strategic decision to divest Bressner and refocus on core edge AI computing demonstrates some strategic discipline, but the company lacks an articulated Just Cause beyond technology execution. At 57 employees with limited public culture or leadership philosophy data, the infinite game dimensions are difficult to evaluate, but the absence of evidence suggests a company focused on near-term execution over long-term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OSS has a functional purpose — building edge computing for defense and AI — but no articulated Just Cause in Sinek's sense [2]. There is no vision of a future state that transcends the company's products. The company exists to build and sell hardware, not to advance a cause. The Bressner divestiture showed strategic focus but was driven by business logic, not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organizational trust, culture practices, or employee empowerment was found. At 57 employees, the company is small enough that culture depends heavily on individual managers. No employee retention metrics, leadership philosophy statements, or cultural data are publicly available. The significant share dilution (from ~12M to ~25M shares) raises questions about management-shareholder alignment.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OSS frames its competitive relationships. The company competes against larger defense primes and edge computing providers but its competitive language focuses on product superiority ('first-to-market PCIe Gen 6') rather than learning from rivals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sale of Bressner in December 2025 for $22.4M represented a meaningful strategic pivot — OSS abandoned a revenue-generating distribution business to concentrate entirely on rugged edge AI computing [2]. This was a deliberate pruning that sharpened strategic focus at the cost of near-term revenue. However, the company has not fundamentally changed what it does (compute hardware); the pivot was about concentration rather than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Divesting Bressner required courage — the subsidiary generated meaningful revenue, and selling it reduced the company's top line in the short term [2]. Management chose long-term strategic clarity over near-term revenue, guiding investors toward a smaller but higher-margin, higher-growth business. However, the significant share dilution suggests management also prioritized capital raising over protecting existing shareholders' ownership stake.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OSS is a compelling micro-cap play on edge AI infrastructure for defense — the company designs and manufactures the rugged GPU-accelerated platforms that run AI at the tactical edge on naval vessels, Army combat vehicles, drones, and autonomous systems [1][2]. Q2 2026 revenue surged 62% YoY to $9.35M, following Q1's 55% growth, as defense and commercial AI demand accelerated [3]. The $8.4M defense prime contract with $44M potential over four years, plus U.S. Army combat vehicle orders, provide concrete pipeline visibility. The balance sheet is clean with D/E of 4% and a net cash position (current ratio 3.37), while the PCIe Gen 6.0 product launch (1,024 GB/s bandwidth) positions OSS at the technology frontier [4]. Analyst consensus is Strong Buy with a $19 price target (+102% upside), and the Inspire score of 53 (ALIGNED) supports faith-based allocation [5].</w:t>
      </w:r>
    </w:p>
    <w:p>
      <w:pPr>
        <w:spacing w:after="120"/>
      </w:pPr>
      <w:r>
        <w:rPr>
          <w:rFonts w:ascii="Calibri" w:hAnsi="Calibri"/>
          <w:b w:val="0"/>
          <w:color w:val="3A4A28"/>
          <w:sz w:val="20"/>
        </w:rPr>
        <w:t>The primary risk is micro-cap volatility and execution uncertainty. At $234M market cap and 57 employees, OSS has virtually no margin for error — a single contract delay could meaningfully impact results [4]. Q2 2026 posted a -$7.32M net loss on $9.35M revenue, likely from one-time charges, driving TTM profit margin to just 3.33% and demonstrating the earnings volatility inherent in a company of this size [3]. Shares outstanding increased from approximately 12M to 25M, representing significant dilution that eroded per-share value even as the business grew (stock down 40% from $15.56 to $9.39 despite strong revenue momentum). Forward P/E of 208.67x reflects extremely thin consensus earnings estimates, and with only 3 analysts covering the stock, valuation signals are unreliable. Customer concentration in defense creates binary risk — revenue depends on a small number of prime contractor relationships. The 5-year revenue CAGR is not meaningful post-Bressner divestiture, and the company's track record of profitability consists of only one full year (FY2025) out of the last five.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Expansion of the $8.4M defense platform contract toward its $44M four-year potential as the initial system design progresses to full-rate production, with U.S. Army combat vehicle orders adding platform breadth [1]</w:t>
      </w:r>
    </w:p>
    <w:p>
      <w:pPr>
        <w:spacing w:before="40" w:after="40"/>
        <w:ind w:left="283"/>
      </w:pPr>
      <w:r>
        <w:rPr>
          <w:rFonts w:ascii="Calibri" w:hAnsi="Calibri"/>
          <w:b/>
          <w:color w:val="4A6B25"/>
          <w:sz w:val="20"/>
        </w:rPr>
        <w:t xml:space="preserve">2. </w:t>
      </w:r>
      <w:r>
        <w:rPr>
          <w:rFonts w:ascii="Calibri" w:hAnsi="Calibri"/>
          <w:b w:val="0"/>
          <w:color w:val="3A4A28"/>
          <w:sz w:val="20"/>
        </w:rPr>
        <w:t>PCIe Gen 6.0 product adoption driving ASP expansion and design wins in next-generation naval, submarine, and autonomous vehicle platforms requiring 1,024 GB/s switched-fabric bandwidth [2]</w:t>
      </w:r>
    </w:p>
    <w:p>
      <w:pPr>
        <w:spacing w:before="40" w:after="40"/>
        <w:ind w:left="283"/>
      </w:pPr>
      <w:r>
        <w:rPr>
          <w:rFonts w:ascii="Calibri" w:hAnsi="Calibri"/>
          <w:b/>
          <w:color w:val="4A6B25"/>
          <w:sz w:val="20"/>
        </w:rPr>
        <w:t xml:space="preserve">3. </w:t>
      </w:r>
      <w:r>
        <w:rPr>
          <w:rFonts w:ascii="Calibri" w:hAnsi="Calibri"/>
          <w:b w:val="0"/>
          <w:color w:val="3A4A28"/>
          <w:sz w:val="20"/>
        </w:rPr>
        <w:t>Profitability inflection confirmation — FY2025's 15.79% profit margin and $5.09M net income need to be sustained through FY2026 to validate the business model at scale; analysts project $40.8M revenue and $0.06 EPS for 2026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Micro-cap concentration risk — at $234M market cap and 57 employees, a single contract cancellation, defense budget cut, or key-person departure could create outsized financial impact, and Q2 2026's -$7.32M loss demonstrates earnings volatility [3][4]</w:t>
      </w:r>
    </w:p>
    <w:p>
      <w:pPr>
        <w:spacing w:before="40" w:after="40"/>
        <w:ind w:left="283"/>
      </w:pPr>
      <w:r>
        <w:rPr>
          <w:rFonts w:ascii="Calibri" w:hAnsi="Calibri"/>
          <w:b/>
          <w:color w:val="4A6B25"/>
          <w:sz w:val="20"/>
        </w:rPr>
        <w:t xml:space="preserve">2. </w:t>
      </w:r>
      <w:r>
        <w:rPr>
          <w:rFonts w:ascii="Calibri" w:hAnsi="Calibri"/>
          <w:b w:val="0"/>
          <w:color w:val="3A4A28"/>
          <w:sz w:val="20"/>
        </w:rPr>
        <w:t>Significant share dilution — shares outstanding approximately doubled from ~12M to ~25M, eroding per-share value and raising questions about future capital needs and management's willingness to dilute existing shareholders</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in defense prime contractors means revenue visibility depends on a small number of relationships, and defense procurement timelines are inherently unpredictable with potential for multi-quarter delays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OSS is the definition of AI infrastructure — the company designs and manufactures the physical GPU-accelerated computing platforms that run AI workloads at the edge [2]. AI cannot displace a company that builds AI hardware; AI adoption directly increases demand for OSS products. The defense applications (naval platforms, Army combat vehicles, drones) require ruggedized physical hardware that AI structurally cannot substitute. The shift toward edge AI processing — running inference and training on moving platforms rather than in centralized data centers — is a secular tailwind for OSS's core capability. The only long-horizon concern is competition from larger defense primes developing internal edge computing solutions. AI Opportunity (1/1): OSS generates 100% of its revenue from AI-enabling edge computing hardware. Revenue grew 55-62% YoY in H1 2026 driven directly by AI demand across defense, medical imaging, robotics, and autonomous systems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One Stop Systems Q1 2026 Earnings Release and $8.4M Defense Contract / $1.2M Army Combat Vehicle Order Announcements — SEC Form 8-K, StockTitan, 2026</w:t>
      </w:r>
    </w:p>
    <w:p>
      <w:pPr>
        <w:spacing w:before="20" w:after="20"/>
        <w:ind w:left="170"/>
      </w:pPr>
      <w:r>
        <w:rPr>
          <w:rFonts w:ascii="Calibri" w:hAnsi="Calibri"/>
          <w:b/>
          <w:color w:val="4A6B25"/>
          <w:sz w:val="15"/>
        </w:rPr>
        <w:t xml:space="preserve">2. </w:t>
      </w:r>
      <w:r>
        <w:rPr>
          <w:rFonts w:ascii="Calibri" w:hAnsi="Calibri"/>
          <w:b w:val="0"/>
          <w:color w:val="3A4A28"/>
          <w:sz w:val="17"/>
        </w:rPr>
        <w:t>One Stop Systems FY2025 Annual Report (10-K) — Bressner divestiture ($22.4M, Dec 2025), PCIe Gen 6.0 launch, company mission, SEC Filing, March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OSS Quarterly Financials: Q2 2026 Revenue $9.35M (+62% YoY), Q1 2026 $8.07M (+55%), TTM Revenue $38.67M, TTM Net Income $1.29M,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OSS Key Statistics: Stock Price $9.39, Market Cap $234M, Forward P/E 208.67, D/E 4%, ROE -18.59%, Current Ratio 3.37, Avg Volume 661K,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OSS Analyst Forecasts: Consensus Strong Buy (3 analysts), Price Target $19.00 (+102% upside), 2026E Revenue $40.8M (+26.6%), 2026E EPS $0.06,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