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OSW</w:t>
      </w:r>
      <w:r>
        <w:rPr>
          <w:rFonts w:ascii="Calibri" w:hAnsi="Calibri"/>
          <w:b/>
          <w:color w:val="1A2010"/>
          <w:sz w:val="40"/>
        </w:rPr>
        <w:t xml:space="preserve">  OneSpaWorld Holdings Limited</w:t>
      </w:r>
    </w:p>
    <w:p>
      <w:pPr>
        <w:spacing w:after="120"/>
      </w:pPr>
      <w:r>
        <w:rPr>
          <w:rFonts w:ascii="Calibri" w:hAnsi="Calibri"/>
          <w:b/>
          <w:color w:val="6E8450"/>
          <w:sz w:val="18"/>
        </w:rPr>
        <w:t>GROWTH SLEEVE · 2026-09-26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NASDAQ · Bahamas</w:t>
      </w:r>
    </w:p>
    <w:p>
      <w:pPr>
        <w:spacing w:after="80"/>
      </w:pPr>
      <w:r>
        <w:rPr>
          <w:rFonts w:ascii="Calibri" w:hAnsi="Calibri"/>
          <w:b w:val="0"/>
          <w:color w:val="3A4A28"/>
          <w:sz w:val="20"/>
        </w:rPr>
        <w:t>OneSpaWorld Holdings Limited operates health and wellness centers onboard cruise ships and at destination resorts worldwide, representing the dominant spa operator in the global cruise industry across 210+ vessels. Following its fourth consecutive year of record financial results in FY2025 (revenue of $961.0M, net income of $71.6M, adjusted EBITDA of $123.3M), the company delivered Q2 2026 revenue of $261.2M (+9% YoY) and adjusted EBITDA of $34.4M (+13%), and raised full-year 2026 guidance to $1.018-$1.038B in revenue and $130-$140M in adjusted EBITDA — crossing the billion-dollar revenue threshold for the first time, representing roughly 10% growth at the midpoint.</w:t>
      </w:r>
    </w:p>
    <w:p>
      <w:r>
        <w:rPr>
          <w:rFonts w:ascii="Calibri" w:hAnsi="Calibri"/>
          <w:b/>
          <w:color w:val="6E8450"/>
          <w:sz w:val="18"/>
        </w:rPr>
        <w:t>5,395 Employees · https://onespaworld.com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(1/3): OneSpaWorld has expanded its service offerings from traditional spa treatments to medi-spa services (Thermage, TruSculpt, CoolSculpting, IV therapy, acupuncture LED therapy), producing strong double-digit treatment growth — an incremental extension of the wellness platform rather than a transformative business model pivot [1]. AI Deployment (1/2): The company has rolled out AI-driven yield optimization and personalized pricing strategies to substantially all of its health and wellness centers at sea, expanding from an initial test fleet to near-universal deployment, though specific revenue uplift has not been separately quantified [1][2]. Market Share Leadership (2/2): OneSpaWorld is the dominant cruise ship spa operator globally across 210+ ships spanning every major cruise line — a near-monopoly position with no comparable competitor in cruise wellness [1]. Product Pipeline (1/2): New ship builds continue to add capacity, with Q2 2026 revenue of $261.2M and raised full-year guidance to $1.018-$1.038B reflecting fleet expansion, though these are capacity additions rather than new product categories [1]. R&amp;D Intensity (0/1): Below-average R&amp;D spending for a services company; innovation centers on treatment menu expansion and AI yield optimization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OneSpaWorld's purpose — delivering 'health and wellness experiences that inspire personal transformation' — is clear but standard industry language, not distinctive among wellness companies [3]. Community Impact (1/2): The company published its second annual Sustainability and Social Responsibility Report, documenting a workforce of 88 nationalities and reduced single-use plastics, but specific charitable dollar amounts or distinctive community programs are not prominently disclosed [4]. Employee Retention (0/2): Glassdoor rating of 2.2/5 is among the lowest for publicly traded companies, and a 70% shipboard personnel retention rate implies roughly 30% annual turnover in the core workforce [4]. Insider Buying (0/2): CEO Leonard Fluxman sold approximately 190,000 shares for ~$4.5M between May-June 2026, and Director Walter McLallen sold 10,500 shares in June 2026, with no insider buying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Growth-sleeve stock. D/E of 15.6% is minimal against the 70% target (score 1.0). ROE of 14.3% is just below the 15% target (score 0.96, 2x weight), and profit margin of 8.0% (score 0.40) reflects the labor-intensive nature of spa services. Revenue growth YoY of 8.5% is near the 10% target (score 0.95), and the estimated 5-year CAGR of ~20% — reflecting the post-COVID demand recovery — significantly exceeds target (score 1.0, 2x weight). Forward P/E of 17.77 is below the 20x target (score 1.0), and an estimated forward PEG of ~0.90 (derived from forward P/E against ~19.7% trailing earnings growth) is below the 1.0 target (score 1.0, 2x weight). Weighted sum of 9.26 across 10 weight units yields an Infrastructure score of 9. Liquidity is ample at ~928K average daily shares × $22.92 ≈ $21M in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OneSpaWorld benefits from a 20+ year legacy in cruise wellness through predecessor Steiner Leisure, with CEO Fluxman providing strategic continuity since 2001. The company's near-monopoly position on 210+ cruise ships and its rebuild from near-zero revenue during COVID to a $1B+ guided 2026 run rate reflect genuine durability and existential flexibility. However, a severely low 2.2/5 Glassdoor rating undermines the trust-based organizational foundation Sinek considers essential, and continued CEO stock sales raise questions about long-term insider alignment.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OneSpaWorld's purpose of delivering wellness experiences that inspire personal transformation connects its work to health and wellbeing outcomes beyond profit [3]. The cause has been consistently pursued for over two decades through Steiner Leisure and now OneSpaWorld under CEO Fluxman's continuity since 2001, with expansion into medi-spa and AI-enabled wellness showing the cause evolving with the industry, though it is not deeply distinctive.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OneSpaWorld's employee culture remains problematic, with a 2.2/5 Glassdoor rating and low marks for culture, values, and work-life balance [4]. The 5,395-employee workforce, spanning 88 nationalities and often working long hours aboard cruise ships, appears to operate in a low-trust environment; while 70% shipboard retention may be acceptable for the cruise industry, it still represents roughly 30% annual turnover, undermining the company's ability to sustain an infinite game.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Despite its dominant near-monopoly in cruise wellness, OneSpaWorld's management focuses on expanding the wellness category and improving guest outcomes rather than defending market share against specific rivals, using competitive intelligence from land-based spa and broader wellness trends to improve its own offering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OneSpaWorld evolved from Steiner Leisure (a traditional cruise spa operator founded in 1901) through the 2017 merger with Haymaker Acquisition Corp into a technology-enabled wellness platform [3]. The pivot into medi-spa services and AI-powered yield optimization represents genuine service model reinvention, and the post-COVID rebuild — from near-zero revenue in 2020 to $1B+ guided for 2026 across four consecutive years of record results — demonstrates survival through existential crisis and transformation under pressure.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invested in AI yield optimization and medi-spa capabilities during the post-COVID recovery, deploying AI tools fleet-wide when the easier path was optimizing existing operations [2]. Continued fleet expansion and crossing the $1B revenue milestone reflect ongoing capital deployment for growth, but as a near-monopoly with captive cruise-line relationships these investments carry limited strategic risk, and CEO Fluxman's ~$4.5M in stock sales during May-June 2026 undercuts the courage narrative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OneSpaWorld holds a near-monopoly in cruise ship wellness across 210+ vessels, having just delivered a fourth consecutive year of record FY2025 results ($961.0M revenue, $71.6M net income) and raised full-year 2026 guidance to $1.018-$1.038B, crossing the billion-dollar revenue threshold for the first time [1]. Growth is supported by secular cruise industry expansion, higher-margin medi-spa treatments showing double-digit growth, and AI-powered yield optimization now deployed fleet-wide across substantially all 210+ vessels [2]. D/E of just 15.6% provides balance sheet flexibility, and an estimated forward PEG near 0.90 suggests the market may be underpricing the earnings growth trajectory implied by management's raised guidance.</w:t>
      </w:r>
    </w:p>
    <w:p>
      <w:pPr>
        <w:spacing w:after="120"/>
      </w:pPr>
      <w:r>
        <w:rPr>
          <w:rFonts w:ascii="Calibri" w:hAnsi="Calibri"/>
          <w:b w:val="0"/>
          <w:color w:val="3A4A28"/>
          <w:sz w:val="20"/>
        </w:rPr>
        <w:t>The bear case centers on cyclical risk and organizational fragility. OneSpaWorld's entire business depends on cruise passenger volumes — any recession, pandemic, or geopolitical disruption that reduces cruise demand would directly impact revenue with limited cost flexibility given the labor-intensive service model [1]. Profit margins of 8.0% are thin, leaving minimal buffer for cost inflation or demand softness. A 2.2/5 Glassdoor rating and roughly 30% implied annual shipboard turnover suggest potential service quality and retention risk among the 5,395-person workforce [4]. CEO Fluxman's ~$4.5M in stock sales during May-June 2026 raises questions about insider conviction at current levels [5], and growth is inherently capped by cruise industry capacity additions rather than organic market share gains given the company's already-dominant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Crossing the $1B annual revenue threshold in FY2026 with raised guidance of $1.018-$1.038B — a milestone that could strengthen the company's negotiating position with cruise line partners and attract institutional attention [1]</w:t>
      </w:r>
    </w:p>
    <w:p>
      <w:pPr>
        <w:spacing w:before="40" w:after="40"/>
        <w:ind w:left="283"/>
      </w:pPr>
      <w:r>
        <w:rPr>
          <w:rFonts w:ascii="Calibri" w:hAnsi="Calibri"/>
          <w:b/>
          <w:color w:val="4A6B25"/>
          <w:sz w:val="20"/>
        </w:rPr>
        <w:t xml:space="preserve">2. </w:t>
      </w:r>
      <w:r>
        <w:rPr>
          <w:rFonts w:ascii="Calibri" w:hAnsi="Calibri"/>
          <w:b w:val="0"/>
          <w:color w:val="3A4A28"/>
          <w:sz w:val="20"/>
        </w:rPr>
        <w:t>Fleet-wide AI yield optimization system, now covering substantially all 210+ vessels, continues to drive revenue uplift per treatment through dynamic pricing and personalized guest recommendations [1][2]</w:t>
      </w:r>
    </w:p>
    <w:p>
      <w:pPr>
        <w:spacing w:before="40" w:after="40"/>
        <w:ind w:left="283"/>
      </w:pPr>
      <w:r>
        <w:rPr>
          <w:rFonts w:ascii="Calibri" w:hAnsi="Calibri"/>
          <w:b/>
          <w:color w:val="4A6B25"/>
          <w:sz w:val="20"/>
        </w:rPr>
        <w:t xml:space="preserve">3. </w:t>
      </w:r>
      <w:r>
        <w:rPr>
          <w:rFonts w:ascii="Calibri" w:hAnsi="Calibri"/>
          <w:b w:val="0"/>
          <w:color w:val="3A4A28"/>
          <w:sz w:val="20"/>
        </w:rPr>
        <w:t>Medi-spa treatments (Thermage, TruSculpt, CoolSculpting, IV therapy) showing strong double-digit growth could structurally expand margins as higher-revenue services scale across the ship network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Cruise industry cyclicality — any recession, pandemic, or geopolitical event that reduces cruise passenger volumes would directly impact OneSpaWorld's revenue with limited cost flexibility in the labor-intensive service model</w:t>
      </w:r>
    </w:p>
    <w:p>
      <w:pPr>
        <w:spacing w:before="40" w:after="40"/>
        <w:ind w:left="283"/>
      </w:pPr>
      <w:r>
        <w:rPr>
          <w:rFonts w:ascii="Calibri" w:hAnsi="Calibri"/>
          <w:b/>
          <w:color w:val="4A6B25"/>
          <w:sz w:val="20"/>
        </w:rPr>
        <w:t xml:space="preserve">2. </w:t>
      </w:r>
      <w:r>
        <w:rPr>
          <w:rFonts w:ascii="Calibri" w:hAnsi="Calibri"/>
          <w:b w:val="0"/>
          <w:color w:val="3A4A28"/>
          <w:sz w:val="20"/>
        </w:rPr>
        <w:t>Severely low employee satisfaction (2.2/5 Glassdoor) and an implied ~30% annual shipboard turnover create retention risk among 5,395 employees and could degrade the premium wellness experience that supports pricing power [4]</w:t>
      </w:r>
    </w:p>
    <w:p>
      <w:pPr>
        <w:spacing w:before="40" w:after="40"/>
        <w:ind w:left="283"/>
      </w:pPr>
      <w:r>
        <w:rPr>
          <w:rFonts w:ascii="Calibri" w:hAnsi="Calibri"/>
          <w:b/>
          <w:color w:val="4A6B25"/>
          <w:sz w:val="20"/>
        </w:rPr>
        <w:t xml:space="preserve">3. </w:t>
      </w:r>
      <w:r>
        <w:rPr>
          <w:rFonts w:ascii="Calibri" w:hAnsi="Calibri"/>
          <w:b w:val="0"/>
          <w:color w:val="3A4A28"/>
          <w:sz w:val="20"/>
        </w:rPr>
        <w:t>Thin 7-8% profit margins combined with continued CEO stock sales raise questions about the durability of margin expansion and insider conviction as the post-COVID recovery matures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OneSpaWorld's core business — delivering hands-on spa treatments, massage therapy, medi-spa procedures, and wellness services by trained therapists aboard cruise ships and at destination resorts — is structurally immune to AI displacement [3]. Human touch and the experiential nature of wellness services cannot be replicated by AI, and the business operates in physically constrained environments (cruise ships at sea) where AI substitution of core service delivery is impossible. AI Opportunity (1/1): OneSpaWorld is actively deploying AI at operational scale — machine learning-powered yield optimization and personalized pricing now cover substantially all of the company's 210+ ship wellness centers, optimizing revenue per guest across the global fleet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OneSpaWorld FY2025 and Q1-Q2 2026 Earnings Releases — Fourth consecutive record year, Q2 revenue $261.2M, raised guidance to $1.018-$1.038B, SEC 8-K filings, 2025-2026</w:t>
      </w:r>
    </w:p>
    <w:p>
      <w:pPr>
        <w:spacing w:before="20" w:after="20"/>
        <w:ind w:left="170"/>
      </w:pPr>
      <w:r>
        <w:rPr>
          <w:rFonts w:ascii="Calibri" w:hAnsi="Calibri"/>
          <w:b/>
          <w:color w:val="4A6B25"/>
          <w:sz w:val="15"/>
        </w:rPr>
        <w:t xml:space="preserve">2. </w:t>
      </w:r>
      <w:r>
        <w:rPr>
          <w:rFonts w:ascii="Calibri" w:hAnsi="Calibri"/>
          <w:b w:val="0"/>
          <w:color w:val="3A4A28"/>
          <w:sz w:val="17"/>
        </w:rPr>
        <w:t>OneSpaWorld AI-Driven Yield Optimization Expansion to Substantially All Vessels — Company Earnings Calls, 2026</w:t>
      </w:r>
    </w:p>
    <w:p>
      <w:pPr>
        <w:spacing w:before="20" w:after="20"/>
        <w:ind w:left="170"/>
      </w:pPr>
      <w:r>
        <w:rPr>
          <w:rFonts w:ascii="Calibri" w:hAnsi="Calibri"/>
          <w:b/>
          <w:color w:val="4A6B25"/>
          <w:sz w:val="15"/>
        </w:rPr>
        <w:t xml:space="preserve">3. </w:t>
      </w:r>
      <w:r>
        <w:rPr>
          <w:rFonts w:ascii="Calibri" w:hAnsi="Calibri"/>
          <w:b w:val="0"/>
          <w:color w:val="3A4A28"/>
          <w:sz w:val="17"/>
        </w:rPr>
        <w:t>OneSpaWorld Corporate Website — Leadership, Company Overview, and Mission,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OneSpaWorld Second Annual Sustainability and Social Responsibility Report — 88 nationalities, 70% shipboard retention, Glassdoor reviews (2.2/5), November 2025</w:t>
      </w:r>
    </w:p>
    <w:p>
      <w:pPr>
        <w:spacing w:before="20" w:after="20"/>
        <w:ind w:left="170"/>
      </w:pPr>
      <w:r>
        <w:rPr>
          <w:rFonts w:ascii="Calibri" w:hAnsi="Calibri"/>
          <w:b/>
          <w:color w:val="4A6B25"/>
          <w:sz w:val="15"/>
        </w:rPr>
        <w:t xml:space="preserve">5. </w:t>
      </w:r>
      <w:r>
        <w:rPr>
          <w:rFonts w:ascii="Calibri" w:hAnsi="Calibri"/>
          <w:b w:val="0"/>
          <w:color w:val="3A4A28"/>
          <w:sz w:val="17"/>
        </w:rPr>
        <w:t>SEC Insider Transaction Filings — CEO Fluxman ~190K shares sold for ~$4.5M, Director McLallen 10,500 shares sold, May-June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