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OTLK</w:t>
      </w:r>
      <w:r>
        <w:rPr>
          <w:rFonts w:ascii="Calibri" w:hAnsi="Calibri"/>
          <w:b/>
          <w:color w:val="1A2010"/>
          <w:sz w:val="40"/>
        </w:rPr>
        <w:t xml:space="preserve">  Outlook Therapeutics, Inc.</w:t>
      </w:r>
    </w:p>
    <w:p>
      <w:pPr>
        <w:spacing w:after="120"/>
      </w:pPr>
      <w:r>
        <w:rPr>
          <w:rFonts w:ascii="Calibri" w:hAnsi="Calibri"/>
          <w:b/>
          <w:color w:val="6E8450"/>
          <w:sz w:val="18"/>
        </w:rPr>
        <w:t>GROWTH SLEEVE · 2026-10-20 · Inspire: 21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NCM · United States</w:t>
      </w:r>
    </w:p>
    <w:p>
      <w:pPr>
        <w:spacing w:after="80"/>
      </w:pPr>
      <w:r>
        <w:rPr>
          <w:rFonts w:ascii="Calibri" w:hAnsi="Calibri"/>
          <w:b w:val="0"/>
          <w:color w:val="3A4A28"/>
          <w:sz w:val="20"/>
        </w:rPr>
        <w:t>Outlook Therapeutics is a commercial-stage biopharmaceutical company focused on ONS-5010/LYTENAVA (bevacizumab-vikg), the first FDA-approved ophthalmic formulation of bevacizumab for treating wet age-related macular degeneration and retinal diseases. The company targets U.S. launch by year-end 2026 with guided first-year net revenue of $50-75M and a longer-term goal exceeding $500M in annual U.S. sales by 2030, while European LYTENAVA business generates negligible, volatile unit sales with returns reserves offsetting shipments. CEO Bob Jahr, a 20-year biopharma commercial veteran, was appointed in July 2025, and the company carries substantial going-concern doubt with a TTM net loss exceeding $47M and only $11.2M in cash [1][2].</w:t>
      </w:r>
    </w:p>
    <w:p>
      <w:r>
        <w:rPr>
          <w:rFonts w:ascii="Calibri" w:hAnsi="Calibri"/>
          <w:b/>
          <w:color w:val="6E8450"/>
          <w:sz w:val="18"/>
        </w:rPr>
        <w:t>17 Employees · https://outlooktherapeutics.com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FDA approval of LYTENAVA — the first-ever approved ophthalmic bevacizumab — after multiple prior Complete Response Letters over several years is a significant regulatory milestone that converted Outlook from clinical to commercial stage [1]. However, the approval has not yet translated into commercial success; European unit sales generated negligible revenue with returns reserves on short-dated shipments actually producing negative net revenue in recent periods. AI Deployment (0/2): No evidence of AI product deployment or AI-driven efficiency gains. Market Share (2/2): LYTENAVA is explicitly the only FDA-approved ophthalmic bevacizumab, a specific category-defining regulatory distinction versus off-label compounded Avastin and costly branded anti-VEGF alternatives (Lucentis, Eylea, Vabysmo) [1]. Product Pipeline (1/2): Management has issued specific U.S. launch revenue guidance of $50-75M in the first 12 months with a path to $500M+ by 2030, but execution credibility is undermined by going-concern doubt, and the U.S. launch timeline remains dependent on commercial infrastructure buildout by a 17-person team [1]. R&amp;D Intensity (1/1): As a single-asset biopharmaceutical company, virtually all spending is directed at clinical development and regulatory advancement, with operating margins of -1243% reflecting total R&amp;D-stage economics.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Outlook's purpose — providing an FDA-approved, standardized, more affordable bevacizumab option for retinal disease patients relying on off-label compounded Avastin or expensive branded alternatives — is clear and identifies a specific patient need, corroborated by the company's Inspire 'Product Access and Affordability' attribution [1]. However, the mission does not articulate a vision beyond this single product/indication and is essentially a business description rather than a transformative purpose. Community Impact (0/2): No evidence of charitable programs or community investment. Employee Retention (0/2): With only 17 full-time employees and a CEO who was appointed just 15 months ago (Bob Jahr, July 2025) following the prior CEO's abrupt departure in December 2024, no meaningful retention data exists [2]. Insider Buying (0/2): No evidence of net insider buying; the company has instead relied on repeated dilutive capital raises with 187M+ shares outstanding plus warrants and options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severely limited data. D/E, ROE, Revenue Growth 5yr CAGR, and PEG are all unavailable and excluded. Forward P/E of -4.11x is excluded as economically meaningless with negative forward earnings (forward EPS -$0.12) [1]. Of the three remaining scoreable metrics, revenue growth YoY of -99.4% floors at 0.0 (1x weight) — net revenue is actually negative due to European returns reserves on short-dated LYTENAVA shipments [1]. Profit margin of 0.0% floors at 0.0 (1x weight). Weighted sum 0.0/3 max = Infrastructure 0. Going-concern doubt compounds this: TTM operating cash burn of $56M against $11.2M cash and $18.4M debt creates existential funding risk [3]. Liquidity floor is not triggered — daily dollar volume of ~$6.3M ($0.493 x 12.8M shares) clears the $1M threshold — but the underlying financial profile reflects a pre-revenue company with no profitability signal.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Outlook Therapeutics shows genuine perseverance — pursuing FDA approval for ONS-5010/LYTENAVA through multiple Complete Response Letters over several years — but the organization exhibits finite-game strain: CEO turnover (Trenary departed December 2024, interim Kenyon, then Jahr appointed July 2025), a 17-person team with no organizational depth, single-asset concentration with no pipeline diversification, and going-concern doubt forcing repeated dilutive financings that subordinate long-term value creation to near-term survival.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goal of delivering a consistent, FDA-approved, more affordable bevacizumab option for retinal disease patients — replacing reliance on off-label compounded Avastin — is a genuine, service-oriented cause that the company pursued despite years of regulatory setbacks [1]. However, the cause has not been tested through commercial execution (launch barely begun), and the company's existential financial stress raises questions about whether the cause can survive without the organization itself surviving first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has cycled through three CEO transitions in two years (Trenary out December 2024, interim Kenyon, Jahr appointed July 2025) amid severe financial stress, with only 17 full-time employees and no tenure or engagement data suggesting organizational stability [2]. The careers page describes a 'high-trust, low-bureaucracy culture,' but this is self-reported and not supported by external evidence.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self-improvement-oriented competitive mindset toward branded anti-VEGF rivals (Eylea, Vabysmo) or off-label Avastin practice was found in research.</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Outlook has remained singularly focused on ONS-5010/LYTENAVA as its core (and only) program since rebranding from Oncobiologics in 2018, with no evidence of business-model diversification or a transformative pivot beyond this single-asset dependency. The company's website and filings show no pipeline beyond bevacizumab ophthalmic indications.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Persisting through multiple FDA Complete Response Letters over several years — continuing to invest in the program rather than abandoning it despite escalating cash burn, going-concern doubt, and massive shareholder dilution — reflects a costly commitment to the underlying cause [1][3]. However, this is a single sustained bet driven partly by having no alternative, rather than a pattern of repeated principled long-term investment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Outlook Therapeutics holds a uniquely valuable regulatory asset: LYTENAVA is the first and only FDA-approved ophthalmic bevacizumab, addressing genuine patient demand for an affordable, standardized alternative to costly branded anti-VEGF therapies ($1,000-2,000/injection for Eylea/Vabysmo) and inconsistent off-label compounded Avastin [1]. Management has issued specific U.S. launch revenue guidance of $50-75M in the first 12 months, with a longer-term target of $500M+ by 2030 in a wet AMD market exceeding $10B annually. CEO Bob Jahr brings 20 years of biopharma commercial launch experience, including successful launches at Sobi North America [2]. AI resilience is structurally strong (8/10) since an FDA-approved biologic drug cannot be disrupted by AI tools.</w:t>
      </w:r>
    </w:p>
    <w:p>
      <w:pPr>
        <w:spacing w:after="120"/>
      </w:pPr>
      <w:r>
        <w:rPr>
          <w:rFonts w:ascii="Calibri" w:hAnsi="Calibri"/>
          <w:b w:val="0"/>
          <w:color w:val="3A4A28"/>
          <w:sz w:val="20"/>
        </w:rPr>
        <w:t>The bear case is near-term existential. The company disclosed substantial going-concern doubt with TTM operating cash burn of $56M against only $11.2M cash and $18.4M debt, creating dependence on additional dilutive financing to fund the U.S. launch [3]. Shareholder dilution has been extreme — 187M+ shares outstanding plus 40M+ warrants — and shares trade at $0.49, down 81% from their 52-week high of $2.54. European LYTENAVA sales have been negative in recent periods due to returns reserves on short-dated shipments, an alarming early signal for commercial execution. The stock's 46.5% decline following FDA approval itself — as investors digested the scope of capital raises needed — signals deep market skepticism. With only 17 employees, no pipeline diversification beyond a single asset, and CEO turnover (third CEO in two years), there is virtually no margin for error on the U.S. launch. The securities class action from the 2023 FDA rejection adds legal overhang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commercial launch of LYTENAVA by year-end 2026, with management-guided first-year net revenue of $50-75M providing a near-term proof point for the commercialization thesis and the only pathway to financial viability [1]</w:t>
      </w:r>
    </w:p>
    <w:p>
      <w:pPr>
        <w:spacing w:before="40" w:after="40"/>
        <w:ind w:left="283"/>
      </w:pPr>
      <w:r>
        <w:rPr>
          <w:rFonts w:ascii="Calibri" w:hAnsi="Calibri"/>
          <w:b/>
          <w:color w:val="4A6B25"/>
          <w:sz w:val="20"/>
        </w:rPr>
        <w:t xml:space="preserve">2. </w:t>
      </w:r>
      <w:r>
        <w:rPr>
          <w:rFonts w:ascii="Calibri" w:hAnsi="Calibri"/>
          <w:b w:val="0"/>
          <w:color w:val="3A4A28"/>
          <w:sz w:val="20"/>
        </w:rPr>
        <w:t>Resolution of European LYTENAVA returns-reserve issues and stabilization of unit sales, with management targeting launches in Ireland and the Netherlands providing additional revenue diversification [1]</w:t>
      </w:r>
    </w:p>
    <w:p>
      <w:pPr>
        <w:spacing w:before="40" w:after="40"/>
        <w:ind w:left="283"/>
      </w:pPr>
      <w:r>
        <w:rPr>
          <w:rFonts w:ascii="Calibri" w:hAnsi="Calibri"/>
          <w:b/>
          <w:color w:val="4A6B25"/>
          <w:sz w:val="20"/>
        </w:rPr>
        <w:t xml:space="preserve">3. </w:t>
      </w:r>
      <w:r>
        <w:rPr>
          <w:rFonts w:ascii="Calibri" w:hAnsi="Calibri"/>
          <w:b w:val="0"/>
          <w:color w:val="3A4A28"/>
          <w:sz w:val="20"/>
        </w:rPr>
        <w:t>Successful non-dilutive financing or strategic partnership that extends cash runway beyond the U.S. launch ramp period without further destroying shareholder value through equity issuance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doubt with $56M annual operating cash burn against $11.2M cash, creating near-certain dependence on additional dilutive financing that has already expanded shares outstanding to 187M+ with 40M+ warrants outstanding [3]</w:t>
      </w:r>
    </w:p>
    <w:p>
      <w:pPr>
        <w:spacing w:before="40" w:after="40"/>
        <w:ind w:left="283"/>
      </w:pPr>
      <w:r>
        <w:rPr>
          <w:rFonts w:ascii="Calibri" w:hAnsi="Calibri"/>
          <w:b/>
          <w:color w:val="4A6B25"/>
          <w:sz w:val="20"/>
        </w:rPr>
        <w:t xml:space="preserve">2. </w:t>
      </w:r>
      <w:r>
        <w:rPr>
          <w:rFonts w:ascii="Calibri" w:hAnsi="Calibri"/>
          <w:b w:val="0"/>
          <w:color w:val="3A4A28"/>
          <w:sz w:val="20"/>
        </w:rPr>
        <w:t>Single-asset concentration risk — the entire investment case rests on LYTENAVA's U.S. commercial execution by a 17-person team, with no pipeline diversification and European sales already showing negative net revenue from returns reserves [1]</w:t>
      </w:r>
    </w:p>
    <w:p>
      <w:pPr>
        <w:spacing w:before="40" w:after="40"/>
        <w:ind w:left="283"/>
      </w:pPr>
      <w:r>
        <w:rPr>
          <w:rFonts w:ascii="Calibri" w:hAnsi="Calibri"/>
          <w:b/>
          <w:color w:val="4A6B25"/>
          <w:sz w:val="20"/>
        </w:rPr>
        <w:t xml:space="preserve">3. </w:t>
      </w:r>
      <w:r>
        <w:rPr>
          <w:rFonts w:ascii="Calibri" w:hAnsi="Calibri"/>
          <w:b w:val="0"/>
          <w:color w:val="3A4A28"/>
          <w:sz w:val="20"/>
        </w:rPr>
        <w:t>Securities class action lawsuit covering December 2022 to August 2023 alleges the company overstated regulatory and commercial prospects for ONS-5010, adding legal costs and management distraction during the critical U.S. launch period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Outlook's core product — an FDA-approved biologic drug (bevacizumab-vikg) requiring clinical development, GMP manufacturing, and regulatory approval — is structurally immune to AI substitution [1]. No generative or agentic AI tool can replicate an approved on-label biologic therapy, the intravitreal injection delivery mechanism, or the manufacturing/quality infrastructure required for FDA-compliant production. The wet AMD treatment market requires physician-administered injections that are fundamentally physical in nature. AI Opportunity (0/1): No evidence of AI-attributable revenue or efficiency gains; the company's priorities are entirely focused on LYTENAVA commercial launch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Outlook Therapeutics FDA Approval and Commercial Launch — LYTENAVA First-Approved Ophthalmic Bevacizumab, U.S. Launch Guidance $50-75M, European Returns Reserves — VisionMonday, BioSpace, Company IR, 2026</w:t>
      </w:r>
    </w:p>
    <w:p>
      <w:pPr>
        <w:spacing w:before="20" w:after="20"/>
        <w:ind w:left="170"/>
      </w:pPr>
      <w:r>
        <w:rPr>
          <w:rFonts w:ascii="Calibri" w:hAnsi="Calibri"/>
          <w:b/>
          <w:color w:val="4A6B25"/>
          <w:sz w:val="15"/>
        </w:rPr>
        <w:t xml:space="preserve">2. </w:t>
      </w:r>
      <w:r>
        <w:rPr>
          <w:rFonts w:ascii="Calibri" w:hAnsi="Calibri"/>
          <w:b w:val="0"/>
          <w:color w:val="3A4A28"/>
          <w:sz w:val="17"/>
        </w:rPr>
        <w:t>Outlook Therapeutics Leadership — CEO Bob Jahr Appointed July 2025, Russ Trenary Departed Dec 2024, Interim CEO Kenyon — Barchart, PharmaNow, Talent4Boards, Eyewire News, 2024-2026</w:t>
      </w:r>
    </w:p>
    <w:p>
      <w:pPr>
        <w:spacing w:before="20" w:after="20"/>
        <w:ind w:left="170"/>
      </w:pPr>
      <w:r>
        <w:rPr>
          <w:rFonts w:ascii="Calibri" w:hAnsi="Calibri"/>
          <w:b/>
          <w:color w:val="4A6B25"/>
          <w:sz w:val="15"/>
        </w:rPr>
        <w:t xml:space="preserve">3. </w:t>
      </w:r>
      <w:r>
        <w:rPr>
          <w:rFonts w:ascii="Calibri" w:hAnsi="Calibri"/>
          <w:b w:val="0"/>
          <w:color w:val="3A4A28"/>
          <w:sz w:val="17"/>
        </w:rPr>
        <w:t>Outlook Therapeutics Financial Risk — Going Concern Doubt, $11.2M Cash, $47M+ Net Loss, 187M Shares + 40M Warrants, Securities Class Action — SEC 10-Q, BusinessWire, TipRanks, Pharmaceutical Technology,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