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OVID</w:t>
      </w:r>
      <w:r>
        <w:rPr>
          <w:rFonts w:ascii="Calibri" w:hAnsi="Calibri"/>
          <w:b/>
          <w:color w:val="1A2010"/>
          <w:sz w:val="40"/>
        </w:rPr>
        <w:t xml:space="preserve">  Ovid Therapeutics Inc.</w:t>
      </w:r>
    </w:p>
    <w:p>
      <w:pPr>
        <w:spacing w:after="120"/>
      </w:pPr>
      <w:r>
        <w:rPr>
          <w:rFonts w:ascii="Calibri" w:hAnsi="Calibri"/>
          <w:b/>
          <w:color w:val="6E8450"/>
          <w:sz w:val="18"/>
        </w:rPr>
        <w:t>GROWTH SLEEVE · 2026-09-07 · Inspire: 23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Ovid Therapeutics is a clinical-stage biopharmaceutical company focused on developing novel medicines for patients with rare neurological disorders, with a particular emphasis on epilepsy. The company's two lead programs are OV329, a GABA-AT inhibitor in Phase 1 trials for drug-resistant epilepsies in adults and infants, and OV4071, a first-in-class oral KCC2 direct activator in Phase 1 for psychosis associated with Parkinson's disease. H1 2026 revenue was $0.7M (vs $6.4M in H1 2025, reflecting lumpiness of milestone/license payments), with R&amp;D expenses of $21.1M (+61% YoY) as the company invests in advancing both programs. Cash of $169.8M provides runway into 2029. Raised $60M via private placement in March 2026. Market cap approximately $555M.</w:t>
      </w:r>
    </w:p>
    <w:p>
      <w:r>
        <w:rPr>
          <w:rFonts w:ascii="Calibri" w:hAnsi="Calibri"/>
          <w:b/>
          <w:color w:val="6E8450"/>
          <w:sz w:val="18"/>
        </w:rPr>
        <w:t>80 Employees · https://ovidrx.com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Ovid has developed two novel clinical-stage programs (OV329 and OV4071) that represent first-in-class mechanisms in rare neurology, but the company's earlier OV101 program for Angelman syndrome failed in Phase 2 (beating placebo on only 1 of 17 measures), destroying significant shareholder value [3]. The pivot to new programs demonstrates resilience but no successful product launches or market-validated pivots have occurred. AI Deployment (0/2): No evidence of AI-powered products or AI-driven R&amp;D cost savings. The company uses standard clinical-stage biotech drug development approaches without reported AI integration. Market Share (0/2): Pre-revenue clinical-stage biotech with no marketed products and therefore no market share in any therapeutic category. Product Pipeline (1/2): Two Phase 1 programs with specific timelines — OV4071 ketamine challenge study planned for H2 2026 to support Phase 2 proof-of-concept in acute schizophrenia in 2027, and OV329 expanding into tuberous sclerosis complex (TSC) and infantile spasms (IS) with the $60M March 2026 raise earmarked for these expansions [1][2]. R&amp;D Intensity (1/1): R&amp;D spending of $21.1M in H1 2026 dwarfs the $0.7M in revenue, representing extreme R&amp;D intensity typical of clinical-stage biotech and reflecting commitment to advancing the pipeline.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Ovid's mission — developing medicines for patients and families living with rare neurological disorders — is specific, thoughtful, and genuinely connected to a larger purpose [3]. The company has maintained a 'staunch commitment to epilepsy since its 2014 launch,' persisting through the OV101 failure and pivoting to new mechanisms rather than abandoning the rare disease space. CEO Dr. Jeremy Levin's vision is patient-centric and the mission clearly differentiates from larger pharma peers. The 12-year focus on rare neurology demonstrates the mission shapes strategic decisions. Community Impact (0/2): While developing rare disease therapeutics inherently serves an underserved patient community, no specific charitable programs, foundation, or community investment beyond core R&amp;D was identified. Employee Retention (0/2): Significant leadership reshuffling in July 2026 (new CBO, CFO, CSO appointments) suggests organizational instability rather than retention strength [3]. No employee tenure or turnover data available. Insider Buying (0/2): The $60M private placement in March 2026 represents institutional investment, not open-market insider buying. No evidence of meaningful net insider purchases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excluding Forward P/E and PEG (unavailable for unprofitable biotech). The sole positive metric is the very low D/E ratio of approximately 5% (scoring 1.0), reflecting Ovid's clean balance sheet with $169.8M in cash and minimal debt obligations [1]. All other available metrics score 0: ROE of -17.6% is below the 0% floor (company is pre-revenue with $30M+ annual losses), revenue growth YoY of -89% is far below the -20% floor (H1 2026 $0.7M vs H1 2025 $6.4M, reflecting the lumpiness of biotech milestone payments), and profit margin is deeply negative at approximately -2,100% [1][2]. The weighted sum of 1.0 across 5 available weight units yields Infrastructure of 2. Liquidity floor cleared at approximately $2.3M daily trading value (est. 800,000 shares/day at $2.91).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Ovid demonstrates genuine Just Cause characteristics with its 12-year commitment to rare neurological disorders — a patient population underserved by larger pharma companies. CEO Dr. Jeremy Levin has maintained the rare disease focus through the devastating OV101 Angelman failure, pivoting to new mechanisms rather than abandoning the space [3]. However, Sinek would note that the company's organizational instability (leadership reshuffling in July 2026), reliance on capital markets for survival ($60M raise, $170M cash runway), and inability to generate sustainable revenue after 12 years raise questions about whether the cause is being effectively advanced. A company that has never brought a product to patients despite a decade of effort is playing the game, but not yet demonstrating it can sustain play.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Ovid's cause — developing medicines for patients and families living with rare neurological disorders — is genuine, patient-centric, and has been maintained consistently since the company's 2014 founding [3]. The decision to persist in rare neurology after the OV101 Angelman syndrome failure (pivoting to OV329 for epilepsy and OV4071 for Parkinson's psychosis rather than abandoning the space) demonstrates the cause drives strategy, not any single program. CEO Dr. Levin's leadership team has stated priorities around 'affordability, equity, and access' for rare disease patients. However, 12 years without bringing a product to patients limits validation — the cause is lived through R&amp;D commitment, not yet through patient impact.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leadership turnover in July 2026 — new Chief Business Officer, Chief Financial Officer, and Chief Scientific Officer appointments, with the prior CSO transitioning to an advisory role — signals organizational instability rather than a trusting, stable environment [3]. For a company of approximately 80 employees, C-suite reshuffling of this magnitude is disruptive. No employee satisfaction data, retention metrics, or cultural evidence was found to counter the instability signal.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Ovid's leadership referencing competitors (Marinus Pharmaceuticals, Sage Therapeutics, other CNS-focused biotechs) as worthy rivals or framing competitive dynamics as motivation for self-improvement. The rare disease space involves less direct competition than broader therapeutic areas, but the absence of competitive reflection suggests a survival-oriented rather than improvement-oriented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After the OV101 Angelman syndrome program failed Phase 2 (beating placebo on only 1 of 17 endpoints), Ovid pivoted to entirely new mechanisms — OV329 (GABA-AT inhibitor) for drug-resistant epilepsy and OV4071 (KCC2 activator) for Parkinson's psychosis [3]. This pivot was driven by the Just Cause (helping rare neurological disease patients) rather than desperation, as the company could have pursued faster-to-market programs outside neurology. The strategic expansion of OV329 into tuberous sclerosis complex and infantile spasms shows continued evolution within the cause. However, these are incremental adaptations within the same clinical-stage model, not a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Ovid raised $60M in March 2026 specifically to expand OV329 into tuberous sclerosis complex and infantile spasms — investing in long-term pipeline expansion rather than preserving cash for survival [2]. Increasing R&amp;D spending 61% YoY ($21.1M vs $13.1M) while revenue declined demonstrates willingness to prioritize future capability over short-term financial metrics. However, for a company with $170M cash and no revenue, this represents expected clinical-stage behavior rather than truly courageous leadership that sacrifices short-term gain.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Ovid Therapeutics offers a high-risk/high-reward rare disease biotech thesis at $555M market cap with $169.8M in cash (runway into 2029) and two first-in-class Phase 1 programs targeting large unmet needs. OV329 (GABA-AT inhibitor) addresses the $4B+ drug-resistant epilepsy market with plans to expand into tuberous sclerosis complex and infantile spasms — conditions with very limited treatment options — funded by the $60M March 2026 raise [1][2]. OV4071 (KCC2 direct activator) targets psychosis in Parkinson's disease with a ketamine challenge study in H2 2026 and Phase 2 proof-of-concept in acute schizophrenia planned for 2027, representing a novel mechanism that could validate an entirely new therapeutic class [2]. CEO Dr. Jeremy Levin brings decades of biotech leadership, and the clean balance sheet (D/E ~5%, no meaningful debt) provides financial stability uncommon among clinical-stage peers.</w:t>
      </w:r>
    </w:p>
    <w:p>
      <w:pPr>
        <w:spacing w:after="120"/>
      </w:pPr>
      <w:r>
        <w:rPr>
          <w:rFonts w:ascii="Calibri" w:hAnsi="Calibri"/>
          <w:b w:val="0"/>
          <w:color w:val="3A4A28"/>
          <w:sz w:val="20"/>
        </w:rPr>
        <w:t>The bear case centers on binary clinical risk and value destruction history. Ovid's OV101 Angelman syndrome program failed catastrophically in Phase 2 (1 of 17 endpoints met), proving that early-stage promise in rare neurological disorders does not reliably translate to clinical success [3]. Both current programs remain in Phase 1 — the earliest stage of clinical development — meaning investors face 3-5+ years of clinical risk before any potential product approval, during which the $170M cash position will be consumed by $40M+ annual R&amp;D burn. H1 2026 revenue of $0.7M (vs $6.4M prior year) demonstrates the company has no sustainable revenue stream and is entirely dependent on capital markets. The July 2026 C-suite reshuffling (new CBO, CFO, CSO) introduces execution risk at a critical pipeline stage. With profit margin of -2,100% and no clear path to profitability before 2030 at the earliest, the stock is a binary bet on Phase 2/3 clinical data rather than a fundamentally investable position. The Inspire Impact Score of 23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OV4071 ketamine challenge study results in H2 2026 could provide early proof-of-concept for the novel KCC2 mechanism, with positive data potentially catalyzing a Phase 2 trial in acute schizophrenia in 2027 and validating a new therapeutic class [1][2]</w:t>
      </w:r>
    </w:p>
    <w:p>
      <w:pPr>
        <w:spacing w:before="40" w:after="40"/>
        <w:ind w:left="283"/>
      </w:pPr>
      <w:r>
        <w:rPr>
          <w:rFonts w:ascii="Calibri" w:hAnsi="Calibri"/>
          <w:b/>
          <w:color w:val="4A6B25"/>
          <w:sz w:val="20"/>
        </w:rPr>
        <w:t xml:space="preserve">2. </w:t>
      </w:r>
      <w:r>
        <w:rPr>
          <w:rFonts w:ascii="Calibri" w:hAnsi="Calibri"/>
          <w:b w:val="0"/>
          <w:color w:val="3A4A28"/>
          <w:sz w:val="20"/>
        </w:rPr>
        <w:t>OV329 expansion into tuberous sclerosis complex and infantile spasms (funded by $60M March 2026 raise) broadens the addressable market and creates multiple shots on goal within the same mechanism, with Phase 1 data readouts expected through 2027 [2]</w:t>
      </w:r>
    </w:p>
    <w:p>
      <w:pPr>
        <w:spacing w:before="40" w:after="40"/>
        <w:ind w:left="283"/>
      </w:pPr>
      <w:r>
        <w:rPr>
          <w:rFonts w:ascii="Calibri" w:hAnsi="Calibri"/>
          <w:b/>
          <w:color w:val="4A6B25"/>
          <w:sz w:val="20"/>
        </w:rPr>
        <w:t xml:space="preserve">3. </w:t>
      </w:r>
      <w:r>
        <w:rPr>
          <w:rFonts w:ascii="Calibri" w:hAnsi="Calibri"/>
          <w:b w:val="0"/>
          <w:color w:val="3A4A28"/>
          <w:sz w:val="20"/>
        </w:rPr>
        <w:t>Partnership or licensing deal for OV329 or OV4071 with a larger pharma company could provide non-dilutive funding, validate the platform, and provide commercial infrastructure the company currently lacks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failure risk — both lead programs are in Phase 1 with no Phase 2/3 data, and Ovid's track record includes a high-profile Phase 2 failure (OV101 for Angelman syndrome) that destroyed significant shareholder value and demonstrated the challenge of translating novel neuroscience into clinical success [3]</w:t>
      </w:r>
    </w:p>
    <w:p>
      <w:pPr>
        <w:spacing w:before="40" w:after="40"/>
        <w:ind w:left="283"/>
      </w:pPr>
      <w:r>
        <w:rPr>
          <w:rFonts w:ascii="Calibri" w:hAnsi="Calibri"/>
          <w:b/>
          <w:color w:val="4A6B25"/>
          <w:sz w:val="20"/>
        </w:rPr>
        <w:t xml:space="preserve">2. </w:t>
      </w:r>
      <w:r>
        <w:rPr>
          <w:rFonts w:ascii="Calibri" w:hAnsi="Calibri"/>
          <w:b w:val="0"/>
          <w:color w:val="3A4A28"/>
          <w:sz w:val="20"/>
        </w:rPr>
        <w:t>Cash burn of ~$40M+ annually with no sustainable revenue stream means the $169.8M cash position provides runway into 2029 but could be exhausted before either program reaches a value-inflecting clinical readout, forcing dilutive financing [1][2]</w:t>
      </w:r>
    </w:p>
    <w:p>
      <w:pPr>
        <w:spacing w:before="40" w:after="40"/>
        <w:ind w:left="283"/>
      </w:pPr>
      <w:r>
        <w:rPr>
          <w:rFonts w:ascii="Calibri" w:hAnsi="Calibri"/>
          <w:b/>
          <w:color w:val="4A6B25"/>
          <w:sz w:val="20"/>
        </w:rPr>
        <w:t xml:space="preserve">3. </w:t>
      </w:r>
      <w:r>
        <w:rPr>
          <w:rFonts w:ascii="Calibri" w:hAnsi="Calibri"/>
          <w:b w:val="0"/>
          <w:color w:val="3A4A28"/>
          <w:sz w:val="20"/>
        </w:rPr>
        <w:t>C-suite instability with three new senior executives appointed in July 2026 (CBO, CFO, CSO) creates execution risk during a critical period of advancing two Phase 1 programs and managing the expanded pipeline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Ovid's core business — discovering and developing novel small-molecule therapeutics for rare neurological disorders — operates behind substantial regulatory moats. FDA-approved clinical trials, manufacturing of physical molecules, IND applications, and the multi-year regulatory pathway from Phase 1 through NDA cannot be replaced by AI [3]. Drug development for rare diseases with small patient populations requires specialized clinical expertise, patient registry access, and KOL relationships that AI tools cannot substitute. The GABA-AT and KCC2 mechanisms target specific biological pathways with novel chemistry, adding intellectual property protection. However, AI is increasingly used to accelerate drug discovery (target identification, molecular design, clinical trial optimization), meaning competitors with superior AI capabilities could develop competing molecules faster or identify superior drug candidates. AI Opportunity (0/1): Ovid does not generate revenue from AI products or services. No evidence of AI integration into the drug discovery or development process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Ovid Therapeutics Q2 2026 Financial Results — Net Loss $15M, Cash $169.8M, OV329 and OV4071 Phase 1 Updates, Backlog of Pipeline Programs — BioSpace,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Ovid Therapeutics Q1 2026 Financial Results — H1 Revenue $0.7M vs $6.4M Prior Year, R&amp;D $21.1M (+61%), $60M Private Placement March 2026, Runway into 2029 — GlobeNewsWire, May 2026</w:t>
      </w:r>
    </w:p>
    <w:p>
      <w:pPr>
        <w:spacing w:before="20" w:after="20"/>
        <w:ind w:left="170"/>
      </w:pPr>
      <w:r>
        <w:rPr>
          <w:rFonts w:ascii="Calibri" w:hAnsi="Calibri"/>
          <w:b/>
          <w:color w:val="4A6B25"/>
          <w:sz w:val="15"/>
        </w:rPr>
        <w:t xml:space="preserve">3. </w:t>
      </w:r>
      <w:r>
        <w:rPr>
          <w:rFonts w:ascii="Calibri" w:hAnsi="Calibri"/>
          <w:b w:val="0"/>
          <w:color w:val="3A4A28"/>
          <w:sz w:val="17"/>
        </w:rPr>
        <w:t>Ovid Therapeutics Leadership and Strategy — CEO Dr. Jeremy Levin, Executive Appointments July 2026, OV101 Angelman Failure, Epilepsy Focus Since 2014 — PharmaVoice, Ovid IR, STAT News, 2019-2026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OVID Key Statistics: Stock Price $2.91, Market Cap $555M, Shares Outstanding 195.3M,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