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OVV</w:t>
      </w:r>
      <w:r>
        <w:rPr>
          <w:rFonts w:ascii="Calibri" w:hAnsi="Calibri"/>
          <w:b/>
          <w:color w:val="1A2010"/>
          <w:sz w:val="40"/>
        </w:rPr>
        <w:t xml:space="preserve">  Ovintiv Inc.</w:t>
      </w:r>
    </w:p>
    <w:p>
      <w:pPr>
        <w:spacing w:after="120"/>
      </w:pPr>
      <w:r>
        <w:rPr>
          <w:rFonts w:ascii="Calibri" w:hAnsi="Calibri"/>
          <w:b/>
          <w:color w:val="6E8450"/>
          <w:sz w:val="18"/>
        </w:rPr>
        <w:t>GROWTH SLEEVE · 2026-10-20 · Inspire: 38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E&amp;P · NYSE · United States</w:t>
      </w:r>
    </w:p>
    <w:p>
      <w:pPr>
        <w:spacing w:after="80"/>
      </w:pPr>
      <w:r>
        <w:rPr>
          <w:rFonts w:ascii="Calibri" w:hAnsi="Calibri"/>
          <w:b w:val="0"/>
          <w:color w:val="3A4A28"/>
          <w:sz w:val="20"/>
        </w:rPr>
        <w:t>Ovintiv Inc. is a North American oil and natural gas exploration and production company operating across the Permian Basin in West Texas and the Montney formation in northwest Alberta and northeast British Columbia. Formerly Encana Corporation, the company redomiciled to the United States and rebranded in January 2020. Ovintiv generated TTM revenue of approximately $9.8B with a 9.7% profit margin and Q2 2026 revenue of $3.01B, up 30% YoY, driven by the NuVista acquisition and stronger commodity prices [1].</w:t>
      </w:r>
    </w:p>
    <w:p>
      <w:r>
        <w:rPr>
          <w:rFonts w:ascii="Calibri" w:hAnsi="Calibri"/>
          <w:b/>
          <w:color w:val="6E8450"/>
          <w:sz w:val="18"/>
        </w:rPr>
        <w:t>1,465 Employees · https://www.ovintiv.com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Ovintiv executed a major corporate transformation from Encana Corporation — relocating its domicile from Canada to the United States in 2020, rebranding, and strategically concentrating its portfolio on the Permian and Montney basins while divesting the Anadarko position for $3.0B [1][3]. The 2025 NuVista Energy acquisition consolidated the Montney footprint but was an incremental asset extension rather than a business model transformation. AI Deployment (0/2): No evidence of AI-powered products or quantified internal AI-driven efficiency gains; operations rely on conventional E&amp;P technology and geological expertise [2]. Market Share (0/2): Ovintiv is a mid-cap E&amp;P operator without category-defining scale or dominant share in any basin — it competes as one of many Permian and Montney producers [1]. Product Pipeline (1/2): Multi-year drilling inventory across Permian and Montney provides production visibility with guidance of 630-645 MBOE/d for 2026, but no next-generation technology programs or breakthrough development plans have been announced [1]. R&amp;D Intensity (0/1): E&amp;P companies do not maintain significant R&amp;D spending as a percentage of revenue; capital is deployed toward drilling and completions [5].</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Ovintiv describes its leadership culture as one of 'innovation, teamwork and discipline' focused on 'execution and accountability,' which is generic and interchangeable with any E&amp;P peer — no articulated purpose beyond efficient energy production [2]. Community Impact (1/2): Achieved a 7th consecutive safest year with a Total Recordable Injury Frequency of 0.19 and significantly reduced flaring and venting of natural gas, demonstrating operational responsibility, though community investment programs are limited in scale and specificity [4]. Employee Retention (1/2): CEO Brendan McCracken joined the company nearly 30 years ago and was unanimously elected CEO in 2021, indicating strong institutional loyalty at the senior leadership level, but no specific voluntary turnover or average tenure data exists for the broader 1,465-person workforce [2]. Insider Buying (0/2): No evidence of meaningful net insider buying by McCracken or other executives in the last 12 months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(yield 1.71% &lt; 2% threshold). D/E of 43.7% is well below the 70% target (score 1.0), reflecting disciplined leverage management following years of debt reduction [5]. Forward P/E of 8.63 is deeply discounted versus the 20 target (score 1.0), and YoY revenue growth of 29.7% exceeds the 10% target (score 1.0), driven by the NuVista acquisition and stronger commodity prices [1]. However, ROE of 8.4% falls short of the 15% target (score 0.56, 2x weight), reflecting modest returns on a book value inflated by acquisition goodwill. Profit margin of 9.7% scores 0.48 against the 20% target, typical for a capital-intensive upstream producer. The PEG ratio of 3.94 exceeds the 3.0 floor (score 0.0, 2x weight), indicating the market prices in limited earnings growth beyond the current commodity cycle. The 5-year revenue CAGR of approximately 3% reflects oil price volatility masking underlying production growth (score 0.53, 2x weight). Daily dollar volume of $235M provides ample liquidity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Ovintiv operates with a primarily finite mindset oriented around capital discipline, shareholder returns, and efficient resource extraction. While CEO McCracken's 30-year tenure demonstrates institutional commitment and the Encana-to-Ovintiv transformation was a decisive portfolio pivot, the company's strategic decisions have been driven by financial optimization rather than a durable purpose beyond commodity production. The company lacks a Just Cause that would inspire stakeholders to sacrifice for a vision beyond quarterly production targets and cash flow generation.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Ovintiv's public strategy is framed around portfolio optimization, cost discipline, and shareholder returns rather than a resilient, service-oriented cause [1][2]. The company exists to efficiently produce oil and gas — there is no articulated vision of a future state that transcends the commodity business. The Encana-to-Ovintiv rebrand was a financial repositioning to access U.S. capital markets, not a purpose-driven transformation.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McCracken's nearly 30-year tenure and the company's emphasis on safety culture — achieving consecutive years of record safety performance with a TRIF of 0.19 — suggest organizational stability and employee welfare prioritization [2][4]. The lean workforce of 1,465 employees for a $19B enterprise indicates operational efficiency. However, no data on voluntary turnover, employee satisfaction, or cultural practices distinguishing Ovintiv from E&amp;P industry norms was found.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Ovintiv's competitive communications focus on operational metrics — capital efficiency, cost per barrel, and production growth targets — which reflect a finite competitive mindset centered on outperforming peers on quantitative measures rather than learning from their strengths [1][2]. No evidence of management referencing competitors as worthy rivals was found.</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transformation from Encana (a Canadian-centric natural gas producer) to Ovintiv (a U.S.-domiciled, oil-weighted, Permian-and-Montney operator) represented meaningful strategic evolution — changing the company's name, domicile, headquarters, and production mix [3]. However, this was an incremental adaptation to industry economics rather than a transformative reinvention, and the company remains fundamentally an E&amp;P producer with no evidence of exploring adjacent business models.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McCracken maintained capital discipline through commodity price volatility, reducing net debt while executing the $3.0B Anadarko divestiture and deploying capital into sequential Montney acquisitions from Paramount (2024) and NuVista (2025) [1]. These are decisive capital allocation decisions, but they are standard E&amp;P management moves optimizing basin economics rather than courageous bets sacrificing near-term earnings for long-term capability.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Ovintiv at $70.04 with a $19.4B market cap is a well-managed mid-cap E&amp;P operator benefiting from a commodity upcycle and strategic portfolio concentration. Q2 2026 revenue of $3.01B grew 30% YoY, driven by the NuVista acquisition and stronger oil prices, while forward P/E of 8.63 represents deep value against $4.5B TTM operating cash flow [1][5]. The company's disciplined balance sheet (D/E 43.7%) provides financial resilience through commodity cycles, and the concentrated two-basin portfolio across Permian and Montney provides production efficiency and multi-year drilling inventory. Free cash flow of $1.2B funds both shareholder returns and organic reinvestment, and the Inspire Impact Score of 38 (ALIGNED) with no negative attributions distinguishes Ovintiv from many E&amp;P peers on faith-based screens.</w:t>
      </w:r>
    </w:p>
    <w:p>
      <w:pPr>
        <w:spacing w:after="120"/>
      </w:pPr>
      <w:r>
        <w:rPr>
          <w:rFonts w:ascii="Calibri" w:hAnsi="Calibri"/>
          <w:b w:val="0"/>
          <w:color w:val="3A4A28"/>
          <w:sz w:val="20"/>
        </w:rPr>
        <w:t>The bear case centers on Ovintiv's structural limitations as a cyclical commodity producer. The 9.7% profit margin and 8.4% ROE are mediocre, reflecting the capital intensity and price sensitivity of upstream E&amp;P operations — metrics unlikely to improve materially without sustained commodity tailwinds [5]. The PEG ratio of 3.94 signals the market expects minimal earnings growth beyond the current cycle, and the 5-year revenue CAGR of approximately 3% underscores the inherent volatility, with revenues whipsawing between $7B and $10.5B based on commodity prices rather than organic growth [1]. The $1.20/share annual dividend yields only 1.71% with no increases since mid-2023, offering limited income appeal. Kimmeridge Energy's 2021 proxy fight specifically criticized Ovintiv as an 'environmental laggard' trailing peers on key environmental metrics [4], and the company remains entirely exposed to oil and gas price cycles with no meaningful diversification into renewables or adjacent energy markets.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NuVista acquisition integration expanding Montney production base with potential for operational synergies and capital efficiency improvements across the consolidated Canadian position, targeting 630-645 MBOE/d production guidance for 2026 [1]</w:t>
      </w:r>
    </w:p>
    <w:p>
      <w:pPr>
        <w:spacing w:before="40" w:after="40"/>
        <w:ind w:left="283"/>
      </w:pPr>
      <w:r>
        <w:rPr>
          <w:rFonts w:ascii="Calibri" w:hAnsi="Calibri"/>
          <w:b/>
          <w:color w:val="4A6B25"/>
          <w:sz w:val="20"/>
        </w:rPr>
        <w:t xml:space="preserve">2. </w:t>
      </w:r>
      <w:r>
        <w:rPr>
          <w:rFonts w:ascii="Calibri" w:hAnsi="Calibri"/>
          <w:b w:val="0"/>
          <w:color w:val="3A4A28"/>
          <w:sz w:val="20"/>
        </w:rPr>
        <w:t>Rising global energy demand from AI data center buildout supports natural gas prices, with Ovintiv's Montney position providing direct exposure to growing LNG export volumes and domestic gas demand [5]</w:t>
      </w:r>
    </w:p>
    <w:p>
      <w:pPr>
        <w:spacing w:before="40" w:after="40"/>
        <w:ind w:left="283"/>
      </w:pPr>
      <w:r>
        <w:rPr>
          <w:rFonts w:ascii="Calibri" w:hAnsi="Calibri"/>
          <w:b/>
          <w:color w:val="4A6B25"/>
          <w:sz w:val="20"/>
        </w:rPr>
        <w:t xml:space="preserve">3. </w:t>
      </w:r>
      <w:r>
        <w:rPr>
          <w:rFonts w:ascii="Calibri" w:hAnsi="Calibri"/>
          <w:b w:val="0"/>
          <w:color w:val="3A4A28"/>
          <w:sz w:val="20"/>
        </w:rPr>
        <w:t>Deep-value forward P/E of 8.63 with $4.5B TTM operating cash flow and $1.2B free cash flow provides significant upside if commodity prices remain elevated through the current geopolitical and demand cycle [1][5]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Commodity price dependence — a sustained decline in WTI below $60/barrel would compress Ovintiv's already-thin 9.7% profit margin and potentially force dividend cuts, as demonstrated by the pre-2022 period when the company suspended dividends entirely [1][5]</w:t>
      </w:r>
    </w:p>
    <w:p>
      <w:pPr>
        <w:spacing w:before="40" w:after="40"/>
        <w:ind w:left="283"/>
      </w:pPr>
      <w:r>
        <w:rPr>
          <w:rFonts w:ascii="Calibri" w:hAnsi="Calibri"/>
          <w:b/>
          <w:color w:val="4A6B25"/>
          <w:sz w:val="20"/>
        </w:rPr>
        <w:t xml:space="preserve">2. </w:t>
      </w:r>
      <w:r>
        <w:rPr>
          <w:rFonts w:ascii="Calibri" w:hAnsi="Calibri"/>
          <w:b w:val="0"/>
          <w:color w:val="3A4A28"/>
          <w:sz w:val="20"/>
        </w:rPr>
        <w:t>PEG ratio of 3.94 signals the market expects minimal earnings growth beyond the current cycle, suggesting the optically cheap 8.63x forward P/E valuation already discounts limited long-term growth potential for a mature E&amp;P operator [5]</w:t>
      </w:r>
    </w:p>
    <w:p>
      <w:pPr>
        <w:spacing w:before="40" w:after="40"/>
        <w:ind w:left="283"/>
      </w:pPr>
      <w:r>
        <w:rPr>
          <w:rFonts w:ascii="Calibri" w:hAnsi="Calibri"/>
          <w:b/>
          <w:color w:val="4A6B25"/>
          <w:sz w:val="20"/>
        </w:rPr>
        <w:t xml:space="preserve">3. </w:t>
      </w:r>
      <w:r>
        <w:rPr>
          <w:rFonts w:ascii="Calibri" w:hAnsi="Calibri"/>
          <w:b w:val="0"/>
          <w:color w:val="3A4A28"/>
          <w:sz w:val="20"/>
        </w:rPr>
        <w:t>Regulatory and environmental headwinds from increased scrutiny of hydraulic fracturing, methane emissions, and climate activism — Kimmeridge Energy's 2021 proxy fight criticized Ovintiv as an 'environmental laggard' trailing peers on key environmental metrics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Oil and gas exploration and production is a physical-world operation that AI structurally cannot displace — extracting hydrocarbons from subsurface reservoirs requires drilling rigs, fracking fleets, pipeline infrastructure, and geological expertise that no AI system can substitute [5]. The rapid expansion of AI data centers is increasing global electricity demand, which supports natural gas consumption as a baseload fuel and potentially increases demand for Ovintiv's Montney gas production. No analyst commentary has flagged AI as a substitution risk for E&amp;P companies; the sector's primary risks remain commodity price volatility and regulatory constraints [4]. AI Opportunity (0/1): Ovintiv does not generate revenue from AI products or services; while operational AI applications in drilling optimization exist across the E&amp;P industry, the company has not reported specific AI-driven revenue or quantified cost savings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Ovintiv Q2 2026 Earnings — Revenue $3.01B (+30% YoY), Q1 2026 Revenue $2.5B (+6.5% YoY), EPS $2.00 — StockAnalysis, Simply Wall St, Benzinga, accessed October 2026</w:t>
      </w:r>
    </w:p>
    <w:p>
      <w:pPr>
        <w:spacing w:before="20" w:after="20"/>
        <w:ind w:left="170"/>
      </w:pPr>
      <w:r>
        <w:rPr>
          <w:rFonts w:ascii="Calibri" w:hAnsi="Calibri"/>
          <w:b/>
          <w:color w:val="4A6B25"/>
          <w:sz w:val="15"/>
        </w:rPr>
        <w:t xml:space="preserve">2. </w:t>
      </w:r>
      <w:r>
        <w:rPr>
          <w:rFonts w:ascii="Calibri" w:hAnsi="Calibri"/>
          <w:b w:val="0"/>
          <w:color w:val="3A4A28"/>
          <w:sz w:val="17"/>
        </w:rPr>
        <w:t>Ovintiv Leadership — CEO Brendan McCracken, 30-year tenure, culture of innovation/teamwork/discipline — Ovintiv.com Leadership page, accessed October 2026</w:t>
      </w:r>
    </w:p>
    <w:p>
      <w:pPr>
        <w:spacing w:before="20" w:after="20"/>
        <w:ind w:left="170"/>
      </w:pPr>
      <w:r>
        <w:rPr>
          <w:rFonts w:ascii="Calibri" w:hAnsi="Calibri"/>
          <w:b/>
          <w:color w:val="4A6B25"/>
          <w:sz w:val="15"/>
        </w:rPr>
        <w:t xml:space="preserve">3. </w:t>
      </w:r>
      <w:r>
        <w:rPr>
          <w:rFonts w:ascii="Calibri" w:hAnsi="Calibri"/>
          <w:b w:val="0"/>
          <w:color w:val="3A4A28"/>
          <w:sz w:val="17"/>
        </w:rPr>
        <w:t>Ovintiv Corporate Transformation — Encana to Ovintiv rebrand January 2020, U.S. redomiciliation, Anadarko divestiture, NuVista acquisition — SEC filings, PR Newswire, accessed October 2026</w:t>
      </w:r>
    </w:p>
    <w:p>
      <w:pPr>
        <w:spacing w:before="20" w:after="20"/>
        <w:ind w:left="170"/>
      </w:pPr>
      <w:r>
        <w:rPr>
          <w:rFonts w:ascii="Calibri" w:hAnsi="Calibri"/>
          <w:b/>
          <w:color w:val="4A6B25"/>
          <w:sz w:val="15"/>
        </w:rPr>
        <w:t xml:space="preserve">4. </w:t>
      </w:r>
      <w:r>
        <w:rPr>
          <w:rFonts w:ascii="Calibri" w:hAnsi="Calibri"/>
          <w:b w:val="0"/>
          <w:color w:val="3A4A28"/>
          <w:sz w:val="17"/>
        </w:rPr>
        <w:t>Kimmeridge Energy Proxy Fight 2021 — Environmental laggard criticism, governance concerns, safety record TRIF 0.19 — ShaleExperts, PR Newswire, accessed October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OVV Key Statistics: Forward P/E 8.63, ROE 8.4%, D/E 43.7%, Dividend Yield 1.71%,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