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OWL</w:t>
      </w:r>
      <w:r>
        <w:rPr>
          <w:rFonts w:ascii="Calibri" w:hAnsi="Calibri"/>
          <w:b/>
          <w:color w:val="1A2010"/>
          <w:sz w:val="40"/>
        </w:rPr>
        <w:t xml:space="preserve">  Blue Owl Capital Inc.</w:t>
      </w:r>
    </w:p>
    <w:p>
      <w:pPr>
        <w:spacing w:after="120"/>
      </w:pPr>
      <w:r>
        <w:rPr>
          <w:rFonts w:ascii="Calibri" w:hAnsi="Calibri"/>
          <w:b/>
          <w:color w:val="6E8450"/>
          <w:sz w:val="18"/>
        </w:rPr>
        <w:t>DIVIDEND SLEEVE · 2026-10-02 · Inspire: 29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NYQ · United States</w:t>
      </w:r>
    </w:p>
    <w:p>
      <w:pPr>
        <w:spacing w:after="80"/>
      </w:pPr>
      <w:r>
        <w:rPr>
          <w:rFonts w:ascii="Calibri" w:hAnsi="Calibri"/>
          <w:b w:val="0"/>
          <w:color w:val="3A4A28"/>
          <w:sz w:val="20"/>
        </w:rPr>
        <w:t>Blue Owl Capital is an alternative asset manager with $319B in AUM as of Q2 2026 (up 12% YoY), operating across three platforms: GP Strategic Capital (minority stakes in other asset managers and professional sports franchises), Direct Lending (private credit to middle-market companies), and Real Estate (triple net lease and credit). Co-founded by Doug Ostrover and Marc Lipschultz, the firm went public via SPAC in May 2021 and scaled AUM from $94B to $319B in five years. Q2 2026 revenue was $753.1M (+7% YoY) with fee-related earnings margin of 58.5% and distributable earnings of $0.22/share.</w:t>
      </w:r>
    </w:p>
    <w:p>
      <w:r>
        <w:rPr>
          <w:rFonts w:ascii="Calibri" w:hAnsi="Calibri"/>
          <w:b/>
          <w:color w:val="6E8450"/>
          <w:sz w:val="18"/>
        </w:rPr>
        <w:t>1,380 Employees · https://www.blueowl.com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Blue Owl scaled from $94B at its 2021 SPAC formation to $319B AUM in five years through transformative acquisitions — combining Owl Rock Capital (direct lending), Dyal Capital (GP stakes), and Kuvare Asset Management (insurance) into a multi-strategy alternative platform with $29.9B in AUM not yet paying fees [1]. The GP Strategic Capital business — minority stakes in other asset managers and now professional sports franchises — is a differentiated model few competitors have replicated at scale. However, the core activity remains alternative credit and asset management, not category-defining innovation. AI Deployment (0/2): Blue Owl developed Owl Insight, an internal AI chatbot for productivity and information analysis, but no AI products are shipping to external customers or generating AI-specific revenue [2]. Market Share (1/2): Blue Owl is a meaningful player in alternative asset management ($319B AUM) with a unique GP stakes niche, but remains significantly smaller than Blackstone ($1T+), Apollo ($730B+), and KKR ($600B+) [1]. Product Pipeline (0/2): No specific next-generation products with named launch dates or revenue visibility were disclosed. Growth strategy centers on continued AUM accumulation, fundraising, and deployment into existing strategies. R&amp;D Intensity (0/1): Not applicable — alternative asset managers do not have meaningful R&amp;D budgets.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Blue Owl's stated purpose centers on providing flexible capital solutions through permanent capital vehicles — a clear commercial proposition but generic and interchangeable with any alternative asset manager's value proposition. There is no articulated vision of a better future or purpose beyond generating returns for investors [3]. Community Impact (0/2): No evidence of distinctive charitable programs, community investment, or foundation activity was found. Blue Owl is a UN PRI signatory and has an ESG policy, but these are standard institutional practices, not evidence of transformative community impact [3]. Employee Retention (1/2): All four co-founders (Ostrover, Lipschultz, Zarecki, Packer) remain active in senior roles five years post-IPO, and management compensation is heavily weighted toward multi-year equity tied to fee-related earnings — suggesting alignment and stability at the leadership level [2]. However, no firm-wide retention or tenure data is available for the broader 1,380-person workforce. Insider Buying (0/2): Management holds substantial equity through retained units, but this is compensation-based ownership rather than open-market purchasing. No evidence of meaningful net insider buying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Blue Owl's GAAP financials significantly understate economic profitability — fee-related earnings margin is 58.5%, but GAAP profit margin is only 2.7% (score 0.14) due to equity-based compensation, intangible amortization from acquisitions, and non-controlling interest allocations [1]. D/E of 77.4% is slightly above the 70% target but well within the floor (score 0.97). Forward P/E of 9.08 is very attractive (score 1.0), and revenue growth 3-year CAGR of approximately 28% far exceeds the 10% target (score 1.0). GAAP ROE of 5.7% is below the 15% target (score 0.38), reflecting the same GAAP distortions. The GAAP payout ratio exceeds 100% (score 0.0), though distributable earnings of approximately $0.88/share roughly cover the $0.91 annual dividend. Dividend history of 5 consecutive years paid (score 0.5, 2x weight) and growth CAGR of approximately 25% (score 1.0, 2x weight) partially offset the GAAP drags. Daily dollar volume of approximately $167M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Blue Owl is a young firm (founded 2021) that has not yet faced the tests that reveal infinite-game thinking — leadership transitions, major credit cycles, or moments requiring sacrifice of short-term performance for long-term capability. The founder-led structure with all four co-founders remaining active is a positive signal for continuity, but the firm exists primarily to generate returns for investors and grow AUM rather than to advance a cause beyond financial performance. The rapid scaling through acquisitions and SPAC formation reflects empire-building characteristic of finite-game players in alternative asset management.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Blue Owl's purpose centers on providing flexible capital solutions through permanent capital vehicles — a functional commercial description, not a vision of a future state so appealing that people would sacrifice to advance it [1]. The firm was created through a financial combination (SPAC merger of Owl Rock and Dyal Capital) optimized for scale and market access, not in service of a founding cause. While the permanent capital philosophy (no fund lifecycle pressure) is distinctive within asset management, it is a structural advantage, not a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Blue Owl maintains leadership stability with all four co-founders active in senior roles and management compensation heavily weighted toward multi-year equity tied to fee-related earnings [2]. This alignment structure suggests trust at the senior leadership level. The co-CEO structure (Ostrover and Lipschultz) distributes authority and suggests collaborative leadership. However, no data on broader organizational culture, employee empowerment, or voluntary turnover was available for the approximately 1,380-person workforce.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commentary that references learning from competitors, acknowledges rivals' strengths, or frames competition as motivation for self-improvement. Blue Owl's competitive positioning focuses on its differentiated GP stakes model and permanent capital advantages rather than explicitly engaging with how larger competitors (Blackstone, Apollo, KKR) excel in areas where Blue Owl is weaker.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Blue Owl has expanded beyond its original direct lending and GP stakes businesses into real estate credit, insurance asset management (Kuvare acquisition), and professional sports minority stakes, demonstrating willingness to enter adjacent markets [1]. The move into data center and GPU financing (leveraging AI infrastructure demand) shows adaptability. However, these expansions are incremental adjacencies within alternative asset management, not transformative reinventions. The firm is too young (5 years) to have faced existential tests.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original SPAC formation combining Owl Rock and Dyal Capital was a bold consolidation bet, and management's commitment to permanent capital vehicles with long lock-up periods demonstrates preference for stable, long-term capital over short-term fundraising optimization [1]. Lipschultz's public acknowledgment of AI disruption risk in the software lending portfolio and proactive de-risking shows strategic courage [2]. However, no evidence of sacrificing near-term results for long-term capability was identified — the firm has consistently prioritized AUM growth and fee revenue maximization.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Blue Owl Capital at $8.95 (9.08x forward earnings, PEG 0.15) offers a high-yield entry (10.17%) into alternative asset management with $319B AUM growing 12% YoY and fee-related earnings margin of 58.5% [1]. The GP Strategic Capital business — minority stakes in other asset managers and professional sports franchises — generates permanent capital fees with minimal redemption risk, creating a uniquely durable revenue stream. Q2 2026 revenue of $753.1M beat estimates, and $29.9B in AUM not yet paying fees represents approximately $349M in expected annual management fees once deployed. The founder-led structure with all four co-founders active and heavily invested ensures alignment. The Inspire Impact Score of 29 (ALIGNED) with zero negative attributions supports faith-based allocation.</w:t>
      </w:r>
    </w:p>
    <w:p>
      <w:pPr>
        <w:spacing w:after="120"/>
      </w:pPr>
      <w:r>
        <w:rPr>
          <w:rFonts w:ascii="Calibri" w:hAnsi="Calibri"/>
          <w:b w:val="0"/>
          <w:color w:val="3A4A28"/>
          <w:sz w:val="20"/>
        </w:rPr>
        <w:t>The bear case centers on GAAP distortions, growth deceleration, and credit cycle risk. GAAP profit margin of 2.7%, ROE of 5.7%, and payout ratio exceeding 100% dramatically understate Blue Owl's economic profitability but create a low infrastructure score (6) that penalizes the stock in quantitative screens [1]. Revenue growth decelerated from 25%+ in 2023 to 7.1% in Q2 2026, raising questions about whether the rapid scaling phase is ending as AUM approaches $320B. The distributable earnings payout ratio of approximately 105% leaves minimal cushion — any shortfall in fee revenue would pressure the $0.91 annual dividend, which would be devastating for a stock trading primarily on yield. The direct lending portfolio has never been tested through a full credit cycle as a public company, and Lipschultz's admission that Blue Owl is 'working down' AI-vulnerable software exposure ahead of 2028 refinancings acknowledges real portfolio risk [2]. Innovation and Inspiration scores are structurally low (3 and 2) because IOWN's framework rewards product innovation and purpose-driven leadership that financial firms rarely possess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AUM growth toward $400B+ driven by institutional allocation shifts toward alternative credit and private markets, with $29.9B in AUM not yet paying fees representing approximately $349M in incremental annual management fees upon deployment [1]</w:t>
      </w:r>
    </w:p>
    <w:p>
      <w:pPr>
        <w:spacing w:before="40" w:after="40"/>
        <w:ind w:left="283"/>
      </w:pPr>
      <w:r>
        <w:rPr>
          <w:rFonts w:ascii="Calibri" w:hAnsi="Calibri"/>
          <w:b/>
          <w:color w:val="4A6B25"/>
          <w:sz w:val="20"/>
        </w:rPr>
        <w:t xml:space="preserve">2. </w:t>
      </w:r>
      <w:r>
        <w:rPr>
          <w:rFonts w:ascii="Calibri" w:hAnsi="Calibri"/>
          <w:b w:val="0"/>
          <w:color w:val="3A4A28"/>
          <w:sz w:val="20"/>
        </w:rPr>
        <w:t>Data center and GPU financing opportunities from Big Tech AI spending — Lipschultz has described AI infrastructure lending as a 'significant opportunity' for private credit, positioning Blue Owl to capitalize on the multi-trillion-dollar AI capex cycle [2]</w:t>
      </w:r>
    </w:p>
    <w:p>
      <w:pPr>
        <w:spacing w:before="40" w:after="40"/>
        <w:ind w:left="283"/>
      </w:pPr>
      <w:r>
        <w:rPr>
          <w:rFonts w:ascii="Calibri" w:hAnsi="Calibri"/>
          <w:b/>
          <w:color w:val="4A6B25"/>
          <w:sz w:val="20"/>
        </w:rPr>
        <w:t xml:space="preserve">3. </w:t>
      </w:r>
      <w:r>
        <w:rPr>
          <w:rFonts w:ascii="Calibri" w:hAnsi="Calibri"/>
          <w:b w:val="0"/>
          <w:color w:val="3A4A28"/>
          <w:sz w:val="20"/>
        </w:rPr>
        <w:t>10.17% dividend yield with Forward P/E of 9.08x and PEG of 0.15 creates a compelling total return profile if distributable earnings growth reaccelerates through fee-bearing AUM deployment and margin expansion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25%+ (2023) to 7.1% in Q2 2026 suggests the rapid AUM scaling phase may be moderating — at $319B AUM, the firm needs increasingly large capital raises to sustain percentage growth rates [1]</w:t>
      </w:r>
    </w:p>
    <w:p>
      <w:pPr>
        <w:spacing w:before="40" w:after="40"/>
        <w:ind w:left="283"/>
      </w:pPr>
      <w:r>
        <w:rPr>
          <w:rFonts w:ascii="Calibri" w:hAnsi="Calibri"/>
          <w:b/>
          <w:color w:val="4A6B25"/>
          <w:sz w:val="20"/>
        </w:rPr>
        <w:t xml:space="preserve">2. </w:t>
      </w:r>
      <w:r>
        <w:rPr>
          <w:rFonts w:ascii="Calibri" w:hAnsi="Calibri"/>
          <w:b w:val="0"/>
          <w:color w:val="3A4A28"/>
          <w:sz w:val="20"/>
        </w:rPr>
        <w:t>Distributable earnings payout ratio of approximately 105% provides no cushion for the $0.91 annual dividend — any downturn in fee revenue, credit losses, or fundraising slowdown would force a dividend cut, devastating a stock trading at 10%+ yield [1]</w:t>
      </w:r>
    </w:p>
    <w:p>
      <w:pPr>
        <w:spacing w:before="40" w:after="40"/>
        <w:ind w:left="283"/>
      </w:pPr>
      <w:r>
        <w:rPr>
          <w:rFonts w:ascii="Calibri" w:hAnsi="Calibri"/>
          <w:b/>
          <w:color w:val="4A6B25"/>
          <w:sz w:val="20"/>
        </w:rPr>
        <w:t xml:space="preserve">3. </w:t>
      </w:r>
      <w:r>
        <w:rPr>
          <w:rFonts w:ascii="Calibri" w:hAnsi="Calibri"/>
          <w:b w:val="0"/>
          <w:color w:val="3A4A28"/>
          <w:sz w:val="20"/>
        </w:rPr>
        <w:t>Blue Owl's direct lending portfolio is untested through a full credit cycle, and AI-driven software disruption risk in the loan book is being actively managed down ahead of 2028 refinancings — a recession or AI disruption wave could impair NAV and fee-related earnings simultaneously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Blue Owl's core business — private credit origination, GP stakes relationship management, and real estate lending — is heavily relationship-driven and requires human judgment in deal sourcing, credit underwriting, and portfolio management that AI cannot easily replicate [2]. The GP Strategic Capital business depends on personal relationships with general partners at other asset managers, creating a trust-based moat. Regulatory complexity in private credit adds structural protection. However, Co-CEO Lipschultz acknowledged that AI 'is going to disrupt some parts of software' and Blue Owl is actively 'working down' exposure to software firms potentially at risk of AI disruption ahead of a 2028 refinancing moment — the direct lending portfolio faces indirect AI risk through borrower disruption [2]. AI Opportunity (0/1): Blue Owl does not generate revenue from AI products or services. Owl Insight (internal AI chatbot) enhances team productivity but no quantifiable AI revenue or external AI products exist. Lipschultz views Big Tech's AI spending as a 'significant opportunity' for private credit (financing data centers and GPU infrastructure), but this is a lending opportunity, not AI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Blue Owl Capital Q1-Q2 2026 Earnings — Q2 Revenue $753.1M (+7% YoY), FRE $392.2M (+9%), DE $0.22/share, AUM $319B (+12% YoY), $29.9B AUM Not Yet Paying Fees, FRE Margin 58.5% — SEC Form 8-K, Investing.com, TradingView, Moomoo, 2026</w:t>
      </w:r>
    </w:p>
    <w:p>
      <w:pPr>
        <w:spacing w:before="20" w:after="20"/>
        <w:ind w:left="170"/>
      </w:pPr>
      <w:r>
        <w:rPr>
          <w:rFonts w:ascii="Calibri" w:hAnsi="Calibri"/>
          <w:b/>
          <w:color w:val="4A6B25"/>
          <w:sz w:val="15"/>
        </w:rPr>
        <w:t xml:space="preserve">2. </w:t>
      </w:r>
      <w:r>
        <w:rPr>
          <w:rFonts w:ascii="Calibri" w:hAnsi="Calibri"/>
          <w:b w:val="0"/>
          <w:color w:val="3A4A28"/>
          <w:sz w:val="17"/>
        </w:rPr>
        <w:t>Blue Owl Capital Leadership and AI Strategy — Co-CEOs Ostrover &amp; Lipschultz, AI Disruption Commentary, Software Exposure De-Risking, Owl Insight Chatbot, Data Center Lending Opportunity — Yahoo Finance, Insider Monkey, FinSMEs, CNBC, 2026</w:t>
      </w:r>
    </w:p>
    <w:p>
      <w:pPr>
        <w:spacing w:before="20" w:after="20"/>
        <w:ind w:left="170"/>
      </w:pPr>
      <w:r>
        <w:rPr>
          <w:rFonts w:ascii="Calibri" w:hAnsi="Calibri"/>
          <w:b/>
          <w:color w:val="4A6B25"/>
          <w:sz w:val="15"/>
        </w:rPr>
        <w:t xml:space="preserve">3. </w:t>
      </w:r>
      <w:r>
        <w:rPr>
          <w:rFonts w:ascii="Calibri" w:hAnsi="Calibri"/>
          <w:b w:val="0"/>
          <w:color w:val="3A4A28"/>
          <w:sz w:val="17"/>
        </w:rPr>
        <w:t>Blue Owl Capital ESG and Sustainability — UN PRI Signatory, ESG Policy, Greenwashing Risk Disclosure, Environmental and Social Governance Framework — BlueOwl.com, SEC 10-K,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