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OXLC</w:t>
      </w:r>
      <w:r>
        <w:rPr>
          <w:rFonts w:ascii="Calibri" w:hAnsi="Calibri"/>
          <w:b/>
          <w:color w:val="1A2010"/>
          <w:sz w:val="40"/>
        </w:rPr>
        <w:t xml:space="preserve">  Oxford Lane Capital Corp.</w:t>
      </w:r>
    </w:p>
    <w:p>
      <w:pPr>
        <w:spacing w:after="120"/>
      </w:pPr>
      <w:r>
        <w:rPr>
          <w:rFonts w:ascii="Calibri" w:hAnsi="Calibri"/>
          <w:b/>
          <w:color w:val="6E8450"/>
          <w:sz w:val="18"/>
        </w:rPr>
        <w:t>DIVIDEND SLEEVE · 2026-09-12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Oxford Lane Capital Corp. is a publicly-traded, externally-managed closed-end fund that invests primarily in the equity and debt tranches of collateralized loan obligations (CLOs), which are collateralized by diversified portfolios of below-investment-grade senior secured loans. Managed by Oxford Lane Management, LLC since its 2011 IPO, the fund pays monthly distributions and is led by CEO Jonathan H. Cohen. Headquartered in Greenwich, Connecticut, with no direct employees of its own. NAV per share declined from $21.60 to $10.56 over the year ending March 2026, before partially stabilizing to an estimated $10.51-$10.81 as of July 2026 [1]. Management cut the monthly distribution 50% from $0.40 to $0.20 to retain approximately 40% of cash flow for NAV rebuilding [3].</w:t>
      </w:r>
    </w:p>
    <w:p>
      <w:r>
        <w:rPr>
          <w:rFonts w:ascii="Calibri" w:hAnsi="Calibri"/>
          <w:b/>
          <w:color w:val="6E8450"/>
          <w:sz w:val="18"/>
        </w:rPr>
        <w:t>https://www.oxfordlanecapital.com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OXLC's core CLO tranche investment strategy has remained largely unchanged since its 2011 IPO; the only notable recent shift is a 2026 capital-allocation pivot toward retaining cash flow to stabilize NAV rather than maximizing distributions amid CLO market stress [1][3]. AI Deployment (0/2): No evidence of AI-driven portfolio management, cost savings, or product deployment was found. Market Share (1/2): OXLC is one of several public CLO-focused closed-end funds (alongside Eagle Point, Oxford Square) — a meaningful but not dominant participant in the niche CLO retail-investor space, and the largest CLO equity CEF by market capitalization [2]. Product Pipeline (0/2): No next-generation products or named initiatives with timelines exist; the fund's mandate is static. R&amp;D Intensity (0/1): Not applicable for a passive investment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OXLC's stated objective — to 'maximize risk-adjusted total return' via CLO investment — is standard closed-end-fund boilerplate, interchangeable with dozens of peer funds [2]. Community Impact (0/2): No charitable or community programs were identified. Employee Retention (0/2): The fund is externally managed by Oxford Lane Management LLC with no direct OXLC workforce or public retention data. Insider Buying (2/2): CEO Jonathan Cohen has made significant open-market purchases — $25M in May 2024 at $5.40/share and a further $15.04M in December 2024 at $5.08/share — a strong signal of personal conviction totaling over $40M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(Dividend sleeve; liquidity floor not triggered: 1,780,000 avg daily volume x $9.66 = ~$17.2M) [4]. D/E of 74.94% is near the 70% target, contributing positively, but leverage has increased from prior quarters as NAV declined while borrowings remained elevated [4]. ROE of -39.16% and profit margin of -126.08% both score 0, reflecting $381.4M in net unrealized depreciation on CLO positions [1]. The $2.40 annualized distribution ($0.20/month) has a payout ratio exceeding 200% against core NII of $0.29/share (Q4 FY2026), though GAAP NII was higher at $0.56/share in Q3 FY2026 [1][3]. The fund has paid consecutive monthly distributions for 15 years since its 2011 IPO (scoring 1.0 with 2x weight), but consecutive years of distribution growth is 0 after the 50% cut. The 5yr distribution CAGR of approximately 21.7% reflects a strong rebound off 2021 COVID-era lows rather than consistent compounding [4]. Forward P/E of approximately 2.1 (typical for leveraged CLO income vehicles) provides a significant positive offset.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Oxford Lane exists to harvest CLO equity yield for shareholders with no articulated purpose beyond return maximization — a textbook finite-game financial vehicle. The 2026 pivot toward NAV stability via the 50% distribution cut demonstrates modest courage, and CEO Cohen's $40M+ in personal open-market purchases signals conviction, but the fund has never faced or demonstrated the kind of transformative test Sinek looks for [2][3].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cause beyond maximizing risk-adjusted total return for shareholders was found in Oxford Lane's public materials — this is a finite, profit-first objective with no larger vision of a future state, typical of a passive structured-credit fund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As an externally-managed fund with approximately 23 advisory staff, no red flags (layoffs, turnover) were identified, and CEO Cohen's 15+ year tenure provides leadership continuity, though no evidence of exceptional psychological safety or empowerment exists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framing competitor CLO funds (Eagle Point, Oxford Square) as sources of learning or 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Management's pivot from maximizing distributions ($0.40/month) to prioritizing 'stable or growing NAV' by retaining roughly 40% of core earnings is a meaningful strategic shift [3]. Cutting the distribution by 50% sacrificed near-term income for long-term sustainability — incremental adaptation rather than transformative reinvention, but it demonstrates willingness to evolve the fund's strategy in response to market conditions.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Management's 2026 shift to prioritize NAV stability by retaining cash flow rather than maximizing near-term distributions is a modest example of choosing long-term capital preservation over short-term yield optics, even as it disappoints income-focused shareholders [1][3]. CEO Cohen's $40M+ personal investment at depressed prices reinforces this conviction signal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Oxford Lane offers a 25% distribution yield at a discount to estimated NAV ($9.66 vs $10.51-$10.81 as of July 2026), backed by a leveraged CLO equity/debt portfolio, and CEO Jonathan Cohen has personally invested over $40M in open-market share purchases since mid-2024, signaling conviction at depressed prices [1][2][4]. Management's strategic pivot to retain approximately 40% of cash flow for NAV rebuilding suggests discipline — the $0.20/month distribution rate is better supported than the prior $0.40/month level, and NAV estimates for July 2026 ($10.51-$10.81) indicate some stabilization after the March 2026 low of $10.56 [1][3].</w:t>
      </w:r>
    </w:p>
    <w:p>
      <w:pPr>
        <w:spacing w:after="120"/>
      </w:pPr>
      <w:r>
        <w:rPr>
          <w:rFonts w:ascii="Calibri" w:hAnsi="Calibri"/>
          <w:b w:val="0"/>
          <w:color w:val="3A4A28"/>
          <w:sz w:val="20"/>
        </w:rPr>
        <w:t>The core problem is a widening gap between distributions and earnings power: core NII fell to $0.29/share (from $0.41 a year earlier) against a $0.20 monthly ($2.40 annualized) distribution, implying a payout ratio north of 200% that is being funded by return of capital and NAV erosion rather than income [1]. NAV collapsed 51% from $21.60 to $10.56 in one year on CLO equity market stress, and the estimated July 2026 NAV of $10.51-$10.81 suggests the recovery has stalled rather than accelerated [1]. OXLC's erratic distribution history (multiple cuts and increases over three years) undermines the durability of its headline yield, ROE of -39.16% and profit margin of -126.08% reflect structurally challenged portfolio performance, and D/E has increased to 74.94% as equity (NAV) eroded while leverage persisted [4]. This is a financial-engineering vehicle with no differentiated business model, no innovation pipeline, and no articulated purpose beyond harvesting CLO equity spread.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 equity market recovery — if credit spreads tighten and default rates remain contained, OXLC's unrealized depreciation could reverse, driving NAV appreciation and potential distribution increases [1]</w:t>
      </w:r>
    </w:p>
    <w:p>
      <w:pPr>
        <w:spacing w:before="40" w:after="40"/>
        <w:ind w:left="283"/>
      </w:pPr>
      <w:r>
        <w:rPr>
          <w:rFonts w:ascii="Calibri" w:hAnsi="Calibri"/>
          <w:b/>
          <w:color w:val="4A6B25"/>
          <w:sz w:val="20"/>
        </w:rPr>
        <w:t xml:space="preserve">2. </w:t>
      </w:r>
      <w:r>
        <w:rPr>
          <w:rFonts w:ascii="Calibri" w:hAnsi="Calibri"/>
          <w:b w:val="0"/>
          <w:color w:val="3A4A28"/>
          <w:sz w:val="20"/>
        </w:rPr>
        <w:t>Management's shift toward retaining 40% of cash flow for NAV stability could rebuild book value per share, with July 2026 NAV estimates of $10.51-$10.81 showing early stabilization [3]</w:t>
      </w:r>
    </w:p>
    <w:p>
      <w:pPr>
        <w:spacing w:before="40" w:after="40"/>
        <w:ind w:left="283"/>
      </w:pPr>
      <w:r>
        <w:rPr>
          <w:rFonts w:ascii="Calibri" w:hAnsi="Calibri"/>
          <w:b/>
          <w:color w:val="4A6B25"/>
          <w:sz w:val="20"/>
        </w:rPr>
        <w:t xml:space="preserve">3. </w:t>
      </w:r>
      <w:r>
        <w:rPr>
          <w:rFonts w:ascii="Calibri" w:hAnsi="Calibri"/>
          <w:b w:val="0"/>
          <w:color w:val="3A4A28"/>
          <w:sz w:val="20"/>
        </w:rPr>
        <w:t>CEO Cohen's $40M+ personal investment at depressed prices ($5.08-$5.40/share) provides insider alignment and could presage further capital return if CLO equity yields recover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net investment income of $0.29/share does not cover the $2.40 annualized distribution, implying continued reliance on return of capital and further NAV erosion if CLO yields stay depressed [1]</w:t>
      </w:r>
    </w:p>
    <w:p>
      <w:pPr>
        <w:spacing w:before="40" w:after="40"/>
        <w:ind w:left="283"/>
      </w:pPr>
      <w:r>
        <w:rPr>
          <w:rFonts w:ascii="Calibri" w:hAnsi="Calibri"/>
          <w:b/>
          <w:color w:val="4A6B25"/>
          <w:sz w:val="20"/>
        </w:rPr>
        <w:t xml:space="preserve">2. </w:t>
      </w:r>
      <w:r>
        <w:rPr>
          <w:rFonts w:ascii="Calibri" w:hAnsi="Calibri"/>
          <w:b w:val="0"/>
          <w:color w:val="3A4A28"/>
          <w:sz w:val="20"/>
        </w:rPr>
        <w:t>NAV stabilization at $10.51-$10.81 (July 2026) is modest following a 51% decline from $21.60, and a deepening credit cycle could trigger additional realized losses beyond the $38.4M already recognized [1]</w:t>
      </w:r>
    </w:p>
    <w:p>
      <w:pPr>
        <w:spacing w:before="40" w:after="40"/>
        <w:ind w:left="283"/>
      </w:pPr>
      <w:r>
        <w:rPr>
          <w:rFonts w:ascii="Calibri" w:hAnsi="Calibri"/>
          <w:b/>
          <w:color w:val="4A6B25"/>
          <w:sz w:val="20"/>
        </w:rPr>
        <w:t xml:space="preserve">3. </w:t>
      </w:r>
      <w:r>
        <w:rPr>
          <w:rFonts w:ascii="Calibri" w:hAnsi="Calibri"/>
          <w:b w:val="0"/>
          <w:color w:val="3A4A28"/>
          <w:sz w:val="20"/>
        </w:rPr>
        <w:t>D/E has increased to 74.94% as equity base (NAV) eroded while leverage persisted, amplifying both upside and downside in a volatile CLO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OXLC's business — acquiring and managing CLO debt/equity tranches backed by diversified senior secured loan pools — is a structured-credit investment activity that AI cannot directly substitute; the fund's returns depend on capital markets access, leverage relationships, and CLO manager selection rather than a product AI could replace [2]. Some underlying portfolio companies within the CLO loan pools face AI disruption risk, but this is once-removed credit exposure, not a direct threat to OXLC's own business model. AI could incrementally automate credit analysis and CLO tranche valuation, placing competitive pressure on the fund's analytical differentiation, but the capital base, regulatory framework, and relationship moats remain intact. AI Opportunity (0/1): No AI-related revenue or strategy was identified for the fund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Oxford Lane Capital Corp. Q3 FY2026 Financial Results — NAV $10.56/share, GAAP NII $54.5M ($0.56/share), Net Unrealized Depreciation $381.4M, Estimated July 2026 NAV $10.51-$10.81, January 2026</w:t>
      </w:r>
    </w:p>
    <w:p>
      <w:pPr>
        <w:spacing w:before="20" w:after="20"/>
        <w:ind w:left="170"/>
      </w:pPr>
      <w:r>
        <w:rPr>
          <w:rFonts w:ascii="Calibri" w:hAnsi="Calibri"/>
          <w:b/>
          <w:color w:val="4A6B25"/>
          <w:sz w:val="15"/>
        </w:rPr>
        <w:t xml:space="preserve">2. </w:t>
      </w:r>
      <w:r>
        <w:rPr>
          <w:rFonts w:ascii="Calibri" w:hAnsi="Calibri"/>
          <w:b w:val="0"/>
          <w:color w:val="3A4A28"/>
          <w:sz w:val="17"/>
        </w:rPr>
        <w:t>Oxford Lane Capital Corp. Corporate Profile — CEO Jonathan Cohen, Investment Objective, $40M+ Insider Purchases, oxfordlanecapital.com,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'The New Oxford Lane Capital: Using Retained Earnings To Rebuild 2026 Book Value,' Distribution Cut to $0.20/month, NAV Preservation Strategy,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OXLC Key Statistics: P/E -1.60, ROE -39.16%, D/E 74.94%, Profit Margin -126.08%, Stock Price $9.66, Avg Volume 1.78M, Yield 25.03%,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