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OXY</w:t>
      </w:r>
      <w:r>
        <w:rPr>
          <w:rFonts w:ascii="Calibri" w:hAnsi="Calibri"/>
          <w:b/>
          <w:color w:val="1A2010"/>
          <w:sz w:val="40"/>
        </w:rPr>
        <w:t xml:space="preserve">  Occidental Petroleum Corporation</w:t>
      </w:r>
    </w:p>
    <w:p>
      <w:pPr>
        <w:spacing w:after="120"/>
      </w:pPr>
      <w:r>
        <w:rPr>
          <w:rFonts w:ascii="Calibri" w:hAnsi="Calibri"/>
          <w:b/>
          <w:color w:val="6E8450"/>
          <w:sz w:val="18"/>
        </w:rPr>
        <w:t>GROWTH SLEEVE · 2026-10-08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Occidental Petroleum is a major U.S. oil and gas exploration and production company with a leading Permian Basin position, organized around three pillars: Upstream, Midstream/Marketing, and Low Carbon Ventures. The company is executing a high-profile pivot toward carbon management through 1PointFive's Stratos facility — the world's largest Direct Air Capture plant — while reducing debt from the CrownRock acquisition. Warren Buffett's Berkshire Hathaway owns over 28% of shares outstanding and has continued adding to its position through 2026. New CEO Richard Jackson (promoted from COO, effective June 1, 2026) oversaw Q2 2026 results that included record free cash flow of $3.0B and global production of 1,433 Mboed exceeding guidance, while principal debt was reduced to $11.8B with $8.6B repaid year-to-date [1][2].</w:t>
      </w:r>
    </w:p>
    <w:p>
      <w:r>
        <w:rPr>
          <w:rFonts w:ascii="Calibri" w:hAnsi="Calibri"/>
          <w:b/>
          <w:color w:val="6E8450"/>
          <w:sz w:val="18"/>
        </w:rPr>
        <w:t>10,412 Employees · https://www.oxy.com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Occidental has executed a transformative pivot over the last several years — building the three-pillar Upstream/Midstream/Low Carbon Ventures structure, closing the CrownRock Permian acquisition, and standing up Stratos, the world's largest Direct Air Capture facility, redefining the company as both an oil major and a carbon management leader [2]. AI Deployment (0/2): No specific evidence of AI-driven internal cost savings or AI product deployment was found in research. Market Share (1/2): OXY holds a strong Permian Basin position (~1.43M BOE/day) but is not the definitive category leader among supermajors and large independents like ExxonMobil and ConocoPhillips. Product Pipeline (2/2): Stratos DAC Phase 1 came online in Q2 2026 with Phase 2 ramping through the rest of the year, targeting 500,000 metric tons of CO2 removal annually — a specific, named, timeline-bound next-generation project [2]. R&amp;D Intensity (0/1): No data found showing R&amp;D/capex intensity above industry average, though DAC technology development represents meaningful capital commitment.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OXY's evolving purpose — positioning as a 'carbon management' company alongside traditional oil and gas production — is specific and thoughtful, backed by real capital commitment ($1B+ Stratos plant), differentiating it from peers who have not made comparable low-carbon infrastructure bets [2]. Community Impact (0/2): No specific community or charitable program data was found in research. Employee Retention (0/2): No specific retention or turnover data was found; the CEO succession (Hollub to Jackson) was orderly but does not by itself demonstrate broad organizational retention strength. Insider Buying (2/2): Berkshire Hathaway — OXY's largest shareholder at 28%+ of shares outstanding — purchased an additional 8.9 million shares for $405 million in 2026, continuing a multi-year pattern of net buying that signals strong conviction from a major, informed holder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(Growth weighting, PEG/ROE/Rev-5yr-CAGR at 2x). Forward P/E of 14.25x and profit margin of 30.32% both clear their targets comfortably, and Forward PEG of 1.17 scores 0.92 against the 1.0 target (2x weight) [4]. D/E of 34.51% is well inside the 70% target, reflecting real progress on the CrownRock-related deleveraging — principal debt fell to $11.8B with $8.6B repaid year-to-date, the lowest since Q2 2019, cutting annualized interest by ~$630M [1]. The main drags are ROE of 10.63% (below the 15% target, scoring 0.71 at 2x weight) and negative revenue growth: -1.95% YoY (2025 revenue $21.59B vs $22.02B in 2024) and an approximate -4.5% 5-year revenue CAGR as prices normalized from 2022's commodity spike [5]. Q2 2026 TTM revenue improved significantly with strong quarterly results ($8.33B revenue topping estimates by ~17%), but the annual comparison remains the primary metric. The dividend was recently raised 8% to $0.28 per quarter ($1.12 annual, yielding 1.92%), though the yield remains below 2%, placing OXY in the Growth sleeve. Liquidity clears the floor comfortably: ~8.5M shares/day at $58.21 is roughly $492M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Occidental under Vicki Hollub has made one of the boldest strategic bets in the energy sector — committing over $1B to build the world's largest Direct Air Capture facility while still running a traditional Permian-focused E&amp;P business, creating real tension between its stated low-carbon purpose and its core fossil-fuel extraction model (captured CO2 is also used for enhanced oil recovery). The CrownRock acquisition and subsequent disciplined deleveraging show a pattern of costly, long-term-oriented capital decisions, and the orderly CEO succession to internal COO Richard Jackson suggests organizational stability, but the cause has not yet been tested through a full commodity-price downturn under the new low-carbon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OXY's low-carbon/'carbon management' purpose is genuine and backed by real capital (Stratos), and strategic decisions increasingly trace back to it, but the core revenue engine remains oil and gas extraction — including using captured CO2 for enhanced oil recovery — creating an inherent tension that limits how fully the cause has been 'lived' rather than layered onto a traditional E&amp;P business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Vicki Hollub to internal COO Richard Jackson was announced well ahead of the June 2026 effective date, suggesting deliberate succession planning and organizational stability, though no specific data on employee retention, tenure, or psychological safety was found to support a higher score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OXY framing competition with ExxonMobil, Chevron, or ConocoPhillips in terms of mutual improvement versus market-share combat; research did not surface distinctive competitive-mindset language either way.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Building an entirely new Low Carbon Ventures business line anchored by the world's largest Direct Air Capture plant is a transformative bet that redefines what kind of company Occidental is, made from a position of core business strength rather than desperation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Committing over $1 billion to the unproven Stratos DAC technology while simultaneously working down CrownRock-related debt (principal debt cut to $11.8B, the lowest since Q2 2019) demonstrates a pattern of prioritizing long-term capability and balance-sheet discipline over short-term earnings optimization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Occidental at $58.21 trades at 14.25x forward earnings with a 1.17 PEG, backed by Q2 2026 free cash flow of $3.0B — the highest since Q3 2022 — and adjusted EPS of $2.40 beating consensus by nearly 30% [1]. New CEO Richard Jackson has maintained the dual-pillar strategy: Permian production averaging 1,433 Mboed (above guidance), principal debt cut to $11.8B with $8.6B repaid year-to-date, and the Stratos DAC facility's Microsoft, Amazon, Shopify, and Airbus carbon-removal offtake agreements creating a differentiated, AI-emissions-linked revenue stream [1][2][6]. Berkshire Hathaway's continued buying (28%+ stake, another $405M added in 2026) and new CEO Jackson's $250K open-market purchase provide strong informed-investor signals. Profit margin of 30.32%, a recently raised dividend (up 8% to $1.12 annual, 1.92% yield), and a clear path to $4B in sustainable annual cash flow by 2030 support the HOLD case [1][3].</w:t>
      </w:r>
    </w:p>
    <w:p>
      <w:pPr>
        <w:spacing w:after="120"/>
      </w:pPr>
      <w:r>
        <w:rPr>
          <w:rFonts w:ascii="Calibri" w:hAnsi="Calibri"/>
          <w:b w:val="0"/>
          <w:color w:val="3A4A28"/>
          <w:sz w:val="20"/>
        </w:rPr>
        <w:t>The bear case centers on cyclicality and execution risk on the low-carbon bet: revenue fell 1.95% YoY to $21.59B in 2025 and has declined at roughly a 4.5% 5-year CAGR as oil prices normalized from the 2022 spike, and ROE of 10.63% remains below the 15% target, reflecting the capital intensity of both the E&amp;P business and the DAC buildout [5]. FY2025 EPS declined 34% to $1.61 from $2.44 in FY2024, though TTM EPS has rebounded to $3.52 on strong Q1-Q2 2026 results. Occidental faces mounting ESG litigation risk as governments and private parties increasingly challenge companies' climate claims, and critics have characterized the Microsoft/Amazon carbon-removal deals as enabling continued fossil fuel extraction (CO2 is partly used for enhanced oil recovery) rather than genuine decarbonization [7]. The CEO transition from Vicki Hollub — architect of the carbon-management strategy — to Richard Jackson is now complete, and while the transition was orderly, execution risk remains for the still-unproven, capital-intensive DAC business during a period of oil price volatility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Stratos DAC Phase 2 ramp through the remainder of 2026, expanding toward the 500,000 metric ton annual CO2 removal capacity and additional offtake agreements beyond Microsoft, Amazon, Shopify, and Airbus [2][6]</w:t>
      </w:r>
    </w:p>
    <w:p>
      <w:pPr>
        <w:spacing w:before="40" w:after="40"/>
        <w:ind w:left="283"/>
      </w:pPr>
      <w:r>
        <w:rPr>
          <w:rFonts w:ascii="Calibri" w:hAnsi="Calibri"/>
          <w:b/>
          <w:color w:val="4A6B25"/>
          <w:sz w:val="20"/>
        </w:rPr>
        <w:t xml:space="preserve">2. </w:t>
      </w:r>
      <w:r>
        <w:rPr>
          <w:rFonts w:ascii="Calibri" w:hAnsi="Calibri"/>
          <w:b w:val="0"/>
          <w:color w:val="3A4A28"/>
          <w:sz w:val="20"/>
        </w:rPr>
        <w:t>Continued debt reduction toward the $4B sustainable annual cash flow target by 2030, with ~50% of that improvement expected between 2026-2027 from Stratos capital roll-off and interest savings [1]</w:t>
      </w:r>
    </w:p>
    <w:p>
      <w:pPr>
        <w:spacing w:before="40" w:after="40"/>
        <w:ind w:left="283"/>
      </w:pPr>
      <w:r>
        <w:rPr>
          <w:rFonts w:ascii="Calibri" w:hAnsi="Calibri"/>
          <w:b/>
          <w:color w:val="4A6B25"/>
          <w:sz w:val="20"/>
        </w:rPr>
        <w:t xml:space="preserve">3. </w:t>
      </w:r>
      <w:r>
        <w:rPr>
          <w:rFonts w:ascii="Calibri" w:hAnsi="Calibri"/>
          <w:b w:val="0"/>
          <w:color w:val="3A4A28"/>
          <w:sz w:val="20"/>
        </w:rPr>
        <w:t>Sustained or rising oil prices supporting Permian cash generation (production averaging 1,426 Mboed, above guidance) while Berkshire Hathaway's continued accumulation signals confidence in the combined E&amp;P/carbon-management strategy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has declined at approximately a 4.5% 5-year CAGR and fell 1.95% YoY in 2025 as commodity prices normalized, and ROE of 10.63% remains below the 15% infrastructure target, indicating the core E&amp;P business has not been consistently growing [5]</w:t>
      </w:r>
    </w:p>
    <w:p>
      <w:pPr>
        <w:spacing w:before="40" w:after="40"/>
        <w:ind w:left="283"/>
      </w:pPr>
      <w:r>
        <w:rPr>
          <w:rFonts w:ascii="Calibri" w:hAnsi="Calibri"/>
          <w:b/>
          <w:color w:val="4A6B25"/>
          <w:sz w:val="20"/>
        </w:rPr>
        <w:t xml:space="preserve">2. </w:t>
      </w:r>
      <w:r>
        <w:rPr>
          <w:rFonts w:ascii="Calibri" w:hAnsi="Calibri"/>
          <w:b w:val="0"/>
          <w:color w:val="3A4A28"/>
          <w:sz w:val="20"/>
        </w:rPr>
        <w:t>Rising ESG litigation and greenwashing scrutiny around the Microsoft/Amazon carbon-removal deals, given captured CO2 is partly used for enhanced oil recovery, could create reputational and legal risk as government and private climate-claims litigation increases in 2026 [7]</w:t>
      </w:r>
    </w:p>
    <w:p>
      <w:pPr>
        <w:spacing w:before="40" w:after="40"/>
        <w:ind w:left="283"/>
      </w:pPr>
      <w:r>
        <w:rPr>
          <w:rFonts w:ascii="Calibri" w:hAnsi="Calibri"/>
          <w:b/>
          <w:color w:val="4A6B25"/>
          <w:sz w:val="20"/>
        </w:rPr>
        <w:t xml:space="preserve">3. </w:t>
      </w:r>
      <w:r>
        <w:rPr>
          <w:rFonts w:ascii="Calibri" w:hAnsi="Calibri"/>
          <w:b w:val="0"/>
          <w:color w:val="3A4A28"/>
          <w:sz w:val="20"/>
        </w:rPr>
        <w:t>The completed CEO transition from Vicki Hollub — architect of the carbon-management pivot — to Richard Jackson means the DAC strategy's champion is no longer at the helm, introducing execution risk for the still-unproven, capital-intensive technology platform amid oil price volatility that could pressure the core cash generation funding 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Occidental's core business — physical oil and gas extraction, essential energy infrastructure — cannot be substituted by AI; commodity production is a structurally AI-immune business, and rising AI/data-center power and materials demand is a net tailwind for the broader energy sector rather than a threat. AI Opportunity (1/1): 1PointFive's Stratos Direct Air Capture facility has signed a record carbon-removal credit deal with Microsoft (500,000 metric tons over six years, reported worth 'hundreds of millions of dollars') explicitly tied to offsetting Microsoft's AI-driven emissions growth, plus additional deals with Amazon, Shopify, and Airbus — giving OXY quantifiable, AI-linked revenue exposure through its carbon management arm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Occidental Petroleum Q1/Q2 2026 Earnings Releases — Free cash flow ~$3B, principal debt $11.8B, interest savings ~$630M, Permian production 1,426 Mboed — oxy.com, Yahoo Finance, Seeking Alpha, 2026</w:t>
      </w:r>
    </w:p>
    <w:p>
      <w:pPr>
        <w:spacing w:before="20" w:after="20"/>
        <w:ind w:left="170"/>
      </w:pPr>
      <w:r>
        <w:rPr>
          <w:rFonts w:ascii="Calibri" w:hAnsi="Calibri"/>
          <w:b/>
          <w:color w:val="4A6B25"/>
          <w:sz w:val="15"/>
        </w:rPr>
        <w:t xml:space="preserve">2. </w:t>
      </w:r>
      <w:r>
        <w:rPr>
          <w:rFonts w:ascii="Calibri" w:hAnsi="Calibri"/>
          <w:b w:val="0"/>
          <w:color w:val="3A4A28"/>
          <w:sz w:val="17"/>
        </w:rPr>
        <w:t>Occidental Petroleum 2026 Transformation and CEO Succession — Stratos DAC Phase 1/2, Vicki Hollub retirement, Richard Jackson succession — FinancialContent, Fortune, Energy Capital HTX, AlphaPilot, 2026</w:t>
      </w:r>
    </w:p>
    <w:p>
      <w:pPr>
        <w:spacing w:before="20" w:after="20"/>
        <w:ind w:left="170"/>
      </w:pPr>
      <w:r>
        <w:rPr>
          <w:rFonts w:ascii="Calibri" w:hAnsi="Calibri"/>
          <w:b/>
          <w:color w:val="4A6B25"/>
          <w:sz w:val="15"/>
        </w:rPr>
        <w:t xml:space="preserve">3. </w:t>
      </w:r>
      <w:r>
        <w:rPr>
          <w:rFonts w:ascii="Calibri" w:hAnsi="Calibri"/>
          <w:b w:val="0"/>
          <w:color w:val="3A4A28"/>
          <w:sz w:val="17"/>
        </w:rPr>
        <w:t>Berkshire Hathaway Occidental Petroleum Stake — 28%+ ownership, $405M additional purchase (8.9M shares) in 2026 — Motley Fool, Nasdaq, StockCircle,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OXY Statistics: Price $58.36, Forward PE 13.27, PEG 1.04, D/E 0.35, ROE 10.63%, Profit Margin 30.32%, Dividend Yield 1.92%,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WallStreetZen/Statista/CompaniesMarketCap — Occidental Petroleum annual revenue history 2021-2025,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1PointFive Carbon Removal Credit Agreements — Microsoft (500,000 metric tons, 6-year deal), Amazon (250,000 metric tons, 10-year deal) tied to AI data center emissions — oxy.com, 1pointfive.com, DataCenterDynamics, World Oil, 2024-2026</w:t>
      </w:r>
    </w:p>
    <w:p>
      <w:pPr>
        <w:spacing w:before="20" w:after="20"/>
        <w:ind w:left="170"/>
      </w:pPr>
      <w:r>
        <w:rPr>
          <w:rFonts w:ascii="Calibri" w:hAnsi="Calibri"/>
          <w:b/>
          <w:color w:val="4A6B25"/>
          <w:sz w:val="15"/>
        </w:rPr>
        <w:t xml:space="preserve">7. </w:t>
      </w:r>
      <w:r>
        <w:rPr>
          <w:rFonts w:ascii="Calibri" w:hAnsi="Calibri"/>
          <w:b w:val="0"/>
          <w:color w:val="3A4A28"/>
          <w:sz w:val="17"/>
        </w:rPr>
        <w:t>ESG Litigation and Climate Claims Risk — ESG Litigation Weekly, ESG-BI.org, coverage of increasing government/private climate-claims litigation trend,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