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OZK</w:t>
      </w:r>
      <w:r>
        <w:rPr>
          <w:rFonts w:ascii="Calibri" w:hAnsi="Calibri"/>
          <w:b/>
          <w:color w:val="1A2010"/>
          <w:sz w:val="40"/>
        </w:rPr>
        <w:t xml:space="preserve">  Bank OZK</w:t>
      </w:r>
    </w:p>
    <w:p>
      <w:pPr>
        <w:spacing w:after="120"/>
      </w:pPr>
      <w:r>
        <w:rPr>
          <w:rFonts w:ascii="Calibri" w:hAnsi="Calibri"/>
          <w:b/>
          <w:color w:val="6E8450"/>
          <w:sz w:val="18"/>
        </w:rPr>
        <w:t>DIVIDEND SLEEVE · 2026-09-20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Bank OZK is a regional bank headquartered in Little Rock, Arkansas, operating approximately 240 branches across the southern United States. Led by Chairman and CEO George Gleason since 1979 (47 years), the bank is nationally known for its Real Estate Specialties Group (RESG) — a leading originator of large commercial real estate construction and development loans — and its Corporate and Institutional Banking (CIB) group spanning 42+ industry niches. Total assets approximately $40.8 billion. Q2 2026 EPS of $1.49 beat consensus by $0.01, with NIM improving 4bps and management reiterating mid-single-digit loan growth guidance.</w:t>
      </w:r>
    </w:p>
    <w:p>
      <w:r>
        <w:rPr>
          <w:rFonts w:ascii="Calibri" w:hAnsi="Calibri"/>
          <w:b/>
          <w:color w:val="6E8450"/>
          <w:sz w:val="18"/>
        </w:rPr>
        <w:t>3,280 Employees · https://www.ozk.com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Bank OZK has successfully diversified from an Arkansas community bank into a national CRE lending powerhouse through RESG and launched the CIB group spanning 42+ industry niches [1]. Management expects mid-single-digit loan growth in 2026 accelerating to 10-11% in 2027 as RESG repayments subside, signaling the CIB diversification engine is gaining traction [1]. The deliberate shift away from CRE concentration toward broader commercial lending represents a meaningful strategic evolution within a regulated industry. AI Deployment (1/2): OZK Labs, the bank's dedicated innovation lab reporting directly to CEO Gleason, deploys machine learning for data-driven insights and builds digital banking experiences — one of the few community/regional banks with a formal innovation lab focused on scaling community banking feel with leading-edge digital services [2]. No specific revenue or savings quantified from AI deployment. Market Share (1/2): RESG is a nationally recognized leader in CRE construction finance with meaningful market presence, but Bank OZK is a modest player in broader commercial banking with $40.8B in total assets [3]. Product Pipeline (1/2): CIB growth across 42 industry verticals and strategic diversification away from CRE provide clear growth visibility; Q2 2026 NIM improved to 4.24% and management expects net interest income to surpass 2025's record $1.59B [1]. R&amp;D Intensity (1/1): OZK Labs represents above-average technology investment for a regional bank, with direct CEO oversight signaling institutional commitment to innovation unusual for a bank of this size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Bank OZK positions itself around disciplined risk management and building long-term client relationships through community banking — clear and consistent under 47 years of Gleason's leadership but not a distinctive or transformative vision [2]. The OZK Labs mission of 'creating flawless digital banking experiences' adds specificity but remains industry-standard ambition. Community Impact (1/2): As a 240-branch community bank serving the southern US, OZK supports local economic development through commercial lending, cybersecurity education for family-owned businesses, and standard CRA compliance [3]. The bank's Inspire score of 50 with 12 positive attributions reflects broad ethical positioning, though no specific charitable foundation, dollar amounts, or distinctive community programs were identified. Employee Retention (1/2): Glassdoor rating of 3.9/5 with employees describing 'a wonderful history and amazing culture' and 73% recommending the company, though persistent complaints about below-industry pay — with CEO Gleason reportedly stating employees 'are already doing the work for the money we currently pay' — suggest retention is culture-driven rather than compensation-driven [2]. Insider Buying (1/2): CEO Gleason has led the bank since 1979 with significant personal equity exposure accumulated over 47 years of ownership, representing extraordinary long-term alignment. While specific recent open-market purchases were not confirmed, the depth of his career-long commitment exceeds typical insider alignment.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Bank OZK delivers exceptional financial metrics for a regional bank. Q2 2026 EPS of $1.49 beat the $1.48 consensus estimate with NIM improving to 4.24%, while H1 2026 net income declined 7.0% YoY reflecting RESG normalization [1]. Forward P/E of 7.94x offers compelling value with a 44.5% net profit margin well above the banking industry average [4]. D/E is structurally low for a bank (long-term borrowings to equity ~13%), and trailing revenue of ~$2.6B declined 2.1% YoY with a 5-year CAGR of ~12.6% [4]. Dividend metrics are exceptional: 29 consecutive years paid, 8 consecutive years of growth, 10.9% 5-year dividend CAGR at a ~3.9% yield with a conservative 29.2% payout ratio providing significant headroom for continued increases. ROE of 11.3% is the primary drag, below the 15% target. Liquidity floor easily cleared: ~1.16M avg vol x $47.88 = $55.5M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Bank OZK under George Gleason's 47-year leadership embodies long-term thinking — building the RESG franchise over decades and now deliberately diversifying into CIB to ensure the bank's durability. The extraordinary CEO tenure and consistent strategic evolution reflect a leader playing to keep playing. However, the aggressive CRE concentration that required capping and the current earnings decline suggest that short-term growth was prioritized over risk management, and the CIB pivot is partially reactive rather than proactive.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Bank OZK's purpose centers on disciplined lending and community banking — a functional operating philosophy rather than a vision of a better future. Gleason's 47-year commitment demonstrates authentic dedication to the institution, but the bank's articulated purpose is shareholder-centric and interchangeable with most community banks [2]. The OZK Labs vision of scaling community banking with digital services adds some distinctive ambition, but the Just Cause has not been tested by a true existential crisis in the Sinek sense.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3.9/5 with 73% of employees recommending the company indicates an adequately trusting environment [2]. Employee reviews describe 'a wonderful history and amazing culture' and 'mutual respect and collaboration.' The 47-year CEO tenure provides extraordinary leadership stability. However, persistent complaints about below-industry pay scales and Gleason's reported view that employees 'are already doing the work for the money we currently pay' suggest the Circle of Safety has limits — trust is high culturally but compensation practices may erode long-term employee commitment.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Bank OZK's CIB group strategically shifts focus across 42 industry niches as competition and pricing vary — explicitly acknowledging competitive dynamics as signals for strategic adaptation rather than battles to win [1]. The deliberate decision to cap RESG loan originations at $500M and build CIB capabilities reflects learning from the banking industry's CRE concentration pain rather than stubbornly defending the dominant position. This is competitive awareness focused on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Bank OZK is actively evolving from its CRE-dominant RESG model toward diversified corporate and institutional banking, with management projecting mid-single-digit loan growth in 2026 accelerating to 10-11% in 2027 from CIB [1]. Capping new CRE loans and building 42 industry niches represents meaningful strategic evolution. However, the core business model remains fundamentally unchanged — it's lending, just to different borrowers — and the pivot is partially forced by credit normalization rather than proactive cause-driven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Gleason's 47-year tenure includes building RESG into a national franchise when critics questioned the CRE concentration risk — and being proven right for over a decade of outperformance [3]. The current decision to cap CRE exposure and invest in CIB diversification, despite RESG being the bank's competitive advantage and profit engine, shows willingness to sacrifice near-term growth for long-term stability. Raising the dividend despite EPS declining 5.7% YoY demonstrates confidence in underlying earnings power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Bank OZK offers a compelling value-and-income combination at 7.9x forward P/E with a ~3.9% dividend yield backed by 29 consecutive years of payments and a 10.9% 5-year dividend CAGR [4]. Q2 2026 EPS of $1.49 beat consensus with NIM improving to 4.24%, and management expects net interest income to surpass 2025's record $1.59B [1]. The 44.5% net profit margin exceeds the banking industry average, and the CIB expansion across 42 industry niches provides a diversification growth engine with management projecting loan growth acceleration to 10-11% in 2027 [1][4]. CEO Gleason's extraordinary 47-year tenure, OZK Labs' innovation investments, and D/E of ~13% provide leadership stability and balance sheet strength unusual for a $5.2B market cap bank.</w:t>
      </w:r>
    </w:p>
    <w:p>
      <w:pPr>
        <w:spacing w:after="120"/>
      </w:pPr>
      <w:r>
        <w:rPr>
          <w:rFonts w:ascii="Calibri" w:hAnsi="Calibri"/>
          <w:b w:val="0"/>
          <w:color w:val="3A4A28"/>
          <w:sz w:val="20"/>
        </w:rPr>
        <w:t>The bear case centers on CRE concentration risk and earnings deceleration. H1 2026 net income declined 7.0% YoY and EPS fell 3.9%, reflecting RESG normalization and elevated charge-offs from the CRE portfolio [1]. Revenue has turned negative at -2.1% YoY as the RESG wind-down offsets CIB expansion [4]. The bank's historically aggressive CRE concentration required management to cap new originations at $500M and diversify — a rational response that constrains the bank's highest-returning business line during the transition [3]. ROE of 11.3% is below the 15% target for a bank with this risk profile, and dependence on higher-cost CD funding rather than cheap core deposits could compress NIM if rate conditions shift. The stock has declined 5% from its 50-day SMA of $50.37, suggesting market skepticism about the near-term earnings trajectory. While the CIB diversification strategy is promising, it is early-stage and unproven at scale, and Bank OZK must navigate CRE credit normalization while simultaneously building new lending capabilities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CIB diversification across 42 industry niches with management projecting loan growth acceleration from mid-single digits in 2026 to 10-11% in 2027 as RESG repayments subside [1]</w:t>
      </w:r>
    </w:p>
    <w:p>
      <w:pPr>
        <w:spacing w:before="40" w:after="40"/>
        <w:ind w:left="283"/>
      </w:pPr>
      <w:r>
        <w:rPr>
          <w:rFonts w:ascii="Calibri" w:hAnsi="Calibri"/>
          <w:b/>
          <w:color w:val="4A6B25"/>
          <w:sz w:val="20"/>
        </w:rPr>
        <w:t xml:space="preserve">2. </w:t>
      </w:r>
      <w:r>
        <w:rPr>
          <w:rFonts w:ascii="Calibri" w:hAnsi="Calibri"/>
          <w:b w:val="0"/>
          <w:color w:val="3A4A28"/>
          <w:sz w:val="20"/>
        </w:rPr>
        <w:t>Dividend growth trajectory — 10.9% 5-year CAGR with a conservative 29.2% payout ratio provides significant room for continued double-digit annual increases at the ~3.9% yield [4]</w:t>
      </w:r>
    </w:p>
    <w:p>
      <w:pPr>
        <w:spacing w:before="40" w:after="40"/>
        <w:ind w:left="283"/>
      </w:pPr>
      <w:r>
        <w:rPr>
          <w:rFonts w:ascii="Calibri" w:hAnsi="Calibri"/>
          <w:b/>
          <w:color w:val="4A6B25"/>
          <w:sz w:val="20"/>
        </w:rPr>
        <w:t xml:space="preserve">3. </w:t>
      </w:r>
      <w:r>
        <w:rPr>
          <w:rFonts w:ascii="Calibri" w:hAnsi="Calibri"/>
          <w:b w:val="0"/>
          <w:color w:val="3A4A28"/>
          <w:sz w:val="20"/>
        </w:rPr>
        <w:t>NIM expansion to 4.24% (up 4bps QoQ) with management expecting net interest income to surpass 2025's record $1.59B, driven by lower deposit costs and loan repricing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 concentration risk — historically aggressive construction lending exposure required management to cap originations at $500M, and charge-offs remain elevated following the 2025 surge to $160M [3]</w:t>
      </w:r>
    </w:p>
    <w:p>
      <w:pPr>
        <w:spacing w:before="40" w:after="40"/>
        <w:ind w:left="283"/>
      </w:pPr>
      <w:r>
        <w:rPr>
          <w:rFonts w:ascii="Calibri" w:hAnsi="Calibri"/>
          <w:b/>
          <w:color w:val="4A6B25"/>
          <w:sz w:val="20"/>
        </w:rPr>
        <w:t xml:space="preserve">2. </w:t>
      </w:r>
      <w:r>
        <w:rPr>
          <w:rFonts w:ascii="Calibri" w:hAnsi="Calibri"/>
          <w:b w:val="0"/>
          <w:color w:val="3A4A28"/>
          <w:sz w:val="20"/>
        </w:rPr>
        <w:t>Earnings deceleration — H1 2026 net income declined 7.0% YoY and trailing revenue fell 2.1%, with RESG wind-down offsetting CIB expansion during the multi-year transition [1]</w:t>
      </w:r>
    </w:p>
    <w:p>
      <w:pPr>
        <w:spacing w:before="40" w:after="40"/>
        <w:ind w:left="283"/>
      </w:pPr>
      <w:r>
        <w:rPr>
          <w:rFonts w:ascii="Calibri" w:hAnsi="Calibri"/>
          <w:b/>
          <w:color w:val="4A6B25"/>
          <w:sz w:val="20"/>
        </w:rPr>
        <w:t xml:space="preserve">3. </w:t>
      </w:r>
      <w:r>
        <w:rPr>
          <w:rFonts w:ascii="Calibri" w:hAnsi="Calibri"/>
          <w:b w:val="0"/>
          <w:color w:val="3A4A28"/>
          <w:sz w:val="20"/>
        </w:rPr>
        <w:t>ROE of 11.3% below the 15% target may remain compressed during the CRE-to-diversified lending transition, creating valuation overhang despite the optically cheap 7.9x forward P/E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Bank OZK's core business is protected by multiple structural moats that AI cannot replicate. RESG construction lending requires deep relationship management, complex deal structuring, and physical-world underwriting across large-scale CRE projects — capabilities that require human judgment and cannot be automated [1][3]. The bank charter, FDIC insurance, and heavy regulatory compliance create barriers that pure AI/fintech competitors cannot easily overcome. CIB lending across 42 industry niches is relationship-intensive and domain-specific. The 240-branch network provides sticky deposit relationships. However, commodity banking products (consumer deposits, standard lending) face moderate fintech and AI-driven competitive pressure, and AI-powered underwriting tools could eventually erode some of OZK's informational advantages in CRE analysis [2]. AI Opportunity (0/1): OZK Labs deploys machine learning for digital banking and data analytics, but no specific AI-generated revenue has been quantified. AI deployment is focused on internal operational efficiency rather than external revenue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Bank OZK Q2 2026 Earnings Release — EPS $1.49 (beat $1.48), NIM 4.24%, H1 Net Income -7.0% YoY, Loan Growth Guidance, July 2026</w:t>
      </w:r>
    </w:p>
    <w:p>
      <w:pPr>
        <w:spacing w:before="20" w:after="20"/>
        <w:ind w:left="170"/>
      </w:pPr>
      <w:r>
        <w:rPr>
          <w:rFonts w:ascii="Calibri" w:hAnsi="Calibri"/>
          <w:b/>
          <w:color w:val="4A6B25"/>
          <w:sz w:val="15"/>
        </w:rPr>
        <w:t xml:space="preserve">2. </w:t>
      </w:r>
      <w:r>
        <w:rPr>
          <w:rFonts w:ascii="Calibri" w:hAnsi="Calibri"/>
          <w:b w:val="0"/>
          <w:color w:val="3A4A28"/>
          <w:sz w:val="17"/>
        </w:rPr>
        <w:t>OZK Labs / The Financial Brand — Innovation Lab, AI and Machine Learning Deployment, Digital Banking Strategy, Glassdoor Reviews (3.9/5, 73% Recommend),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Bank OZK CRE Portfolio — RESG Exposure, Charge-off History, $500M Loan Cap, CIB Diversification Strategy,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OZK Key Statistics, $47.88 price, Forward P/E 7.94, Dividend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