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w:t>
      </w:r>
      <w:r>
        <w:rPr>
          <w:rFonts w:ascii="Calibri" w:hAnsi="Calibri"/>
          <w:b/>
          <w:color w:val="1A2010"/>
          <w:sz w:val="40"/>
        </w:rPr>
        <w:t xml:space="preserve">  Realty Income Corporation</w:t>
      </w:r>
    </w:p>
    <w:p>
      <w:pPr>
        <w:spacing w:after="120"/>
      </w:pPr>
      <w:r>
        <w:rPr>
          <w:rFonts w:ascii="Calibri" w:hAnsi="Calibri"/>
          <w:b/>
          <w:color w:val="6E8450"/>
          <w:sz w:val="18"/>
        </w:rPr>
        <w:t>DIVIDEND SLEEVE · 2026-10-16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NYSE · United States</w:t>
      </w:r>
    </w:p>
    <w:p>
      <w:pPr>
        <w:spacing w:after="80"/>
      </w:pPr>
      <w:r>
        <w:rPr>
          <w:rFonts w:ascii="Calibri" w:hAnsi="Calibri"/>
          <w:b w:val="0"/>
          <w:color w:val="3A4A28"/>
          <w:sz w:val="20"/>
        </w:rPr>
        <w:t>Realty Income Corporation is a real estate investment trust that invests in single-tenant commercial properties under long-term net-lease agreements. Branded as 'The Monthly Dividend Company,' Realty Income owns over 15,600 properties across the US, UK, and Europe, leased to ~1,550 clients across 90 industries. Q2 2026 revenue of $1.55B (+9.7% YoY) beat expectations, AFFO per share rose 3.8% to $1.09, and full-year AFFO guidance was raised to $4.44-$4.45. Investment volume guidance raised to $10B. Portfolio occupancy 98.8%. Market cap approximately $53B.</w:t>
      </w:r>
    </w:p>
    <w:p>
      <w:r>
        <w:rPr>
          <w:rFonts w:ascii="Calibri" w:hAnsi="Calibri"/>
          <w:b/>
          <w:color w:val="6E8450"/>
          <w:sz w:val="18"/>
        </w:rPr>
        <w:t>544 Employees · https://www.realtyincome.com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Realty Income completed the transformative $9.3B Spirit Realty acquisition (January 2024) adding ~2,000 properties, expanded into Europe, and entered data center and gaming property types, meaningfully diversifying beyond traditional retail net-lease [1]. The private capital fund strategy — completing a $1.7B cornerstone raise for the U.S. Core Plus fund with Apollo and GIC partnerships — represents a business model evolution from pure equity REIT to hybrid capital deployer [2]. AI Deployment (0/2): No AI-powered products or services shipping to customers. The company uses predictive analytics for underwriting but no specific deployments or quantified results have been disclosed [3]. Market Share (2/2): Realty Income is the undisputed leader in net-lease REITs with ~$53B market cap, more than double its nearest competitor (NNN). 98.8% occupancy across 15,600+ properties in 90 industries creates unmatched scale [1][2]. The company is the only S&amp;P 500 net-lease REIT. Product Pipeline (1/2): The $10B 2026 investment volume target — raised from $9.5B — is the largest in company history, with Q2 deployments of $2.6B. The Apollo/GIC partnerships and U.S. Core Plus fund provide specific capital deployment visibility [2]. R&amp;D Intensity (0/1): Not applicable for a REIT.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Realty Income's brand identity as 'The Monthly Dividend Company' is distinctive and memorable — validated by 55+ years of consecutive monthly dividends and 113+ consecutive quarterly dividend increases [1]. It clearly connects the company's purpose to providing dependable income for shareholders. However, it is a financial commitment to shareholders rather than a transformative vision of a better future. Community Impact (1/2): Recognized as one of America's Most Responsible Companies 2026 by Newsweek; publishes sustainability reports aligned with GRI and TCFD frameworks [4]. Tenant properties serve community needs (grocery, pharmacy, convenience). However, no distinctive charitable programs or community investment with specific dollar amounts were found beyond standard corporate responsibility compliance. Employee Retention (0/2): Career page cites average tenure of approximately 5 years and 50% of executives promoted from within [3]. However, employee reviews cite below-market pay and cultural deterioration as the company scaled rapidly from ~350 to 544 employees. CLO departure in September 2026 adds to turnover concerns. Five-year average tenure is not above-average for the industry. Insider Buying (0/2): CEO Sumit Roy made no insider transactions in the past 18 months [5]. Other insiders are net sellers — over 10,000 shares sold with zero purchased in recent quarters.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dividend-weighted metrics. D/E of 74.7% is well-managed for a capital-intensive REIT, near the 70% target (score 0.98) [6]. ROE of 3.2% is structurally low for REITs due to GAAP depreciation charges (score 0.22) [6]. Q2 2026 revenue grew 9.6% YoY, near the 10% target (score 0.99) [2]. The 5-year revenue CAGR of ~27% reflects the transformative VEREIT and Spirit Realty mergers (score 1.0). Forward P/E of 35.8 is elevated at GAAP level but reflects REIT norms where AFFO is the relevant metric — on P/AFFO basis the stock trades at ~12.5x ($55.55 / $4.44), which is attractive (score 0.61) [6]. Profit margin improved to 20.9% (score 1.0). AFFO payout ratio of ~73% provides healthy coverage of the ~$3.22 annual dividend (score 0.45) — GAAP payout ratio of 234% is structurally irrelevant for REITs. Consecutive 55+ years paid (score 1.0, 2x weight) and 31 years of growth (score 1.0) — hallmarks of Dividend Aristocrat quality. 5-year dividend growth CAGR of ~3.4% reflects the lower-growth nature of net-lease REITs (score 0.57, 2x weight) [1]. Liquidity cleared: ~$381M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Realty Income exhibits many infinite game qualities — a 55-year track record of monthly dividends, 113+ consecutive quarterly increases, patient capital deployment across market cycles, and a brand identity built around dependable income for generations of investors. CEO Sumit Roy has led for 7+ years with consistent strategic execution, raising the 2026 investment volume target to a record $10B. The Apollo/GIC private capital partnerships expand capabilities beyond pure equity REIT. However, employee concerns about growth overwhelming culture and the relentless pursuit of scale suggest tension between infinite purpose and finite growth metrics.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Monthly Dividend Company' is more than marketing — it's a 55-year commitment to providing dependable monthly income that has survived multiple recessions, interest rate cycles, and leadership transitions [1]. The 113+ consecutive quarterly dividend increases and 31 consecutive years of annual dividend growth are tangible expressions of this cause. The raised AFFO guidance to $4.44-$4.45 reflects genuine orientation toward serving income-dependent investors [2]. However, the Just Cause is ultimately financial rather than transformative — it describes a superior financial product rather than a vision of a better world.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Sumit Roy has led for 7+ years with consistent strategic execution and is described as accessible and communicative [3]. More than half of the executive team has been promoted from within, indicating internal trust. However, employee reviews cite the company having lost its 'family feel' as it scaled rapidly, with below-market pay and rising turnover concerns. CLO departure in September 2026 adds to leadership churn. Average tenure of approximately 5 years is adequate but not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Realty Income operates in a competitive net-lease REIT landscape alongside NNN Realty, STORE Capital (acquired by GIC), and W.P. Carey, and management consistently frames competition as motivation to improve — pursuing differentiated strategies (European expansion, data centers, gaming, sovereign wealth partnerships, private capital vehicles) rather than mimicking peers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Realty Income has evolved meaningfully from a US-focused retail net-lease REIT to a global diversified real estate platform — expanding into Europe (UK, Spain, Italy, France), entering data center and gaming property types, and launching private capital vehicles (Apollo, GIC partnerships, $1.7B U.S. Core Plus fund) [2]. The $10B investment volume target for 2026 demonstrates accelerating deployment capacity. These are significant strategic evolutions, though the company remains fundamentally in the same business of collecting rent from single-tenant properties.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$9.3B Spirit Realty acquisition in 2024 was a bold bet on scale during a challenging interest rate environment [1]. The 2026 investment volume target was raised to $10B — the largest in company history — with Q2 deploying $2.6B at strong cash yields [2]. The private capital partnerships with Apollo and GIC represent a courageous evolution of the capital structure. However, the growth acceleration raises questions about whether scale is being pursued for its own sake — per-share AFFO growth of only 3.8% despite massive deployment suggests diminishing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Realty Income is the gold standard of net-lease REITs — a ~$53B S&amp;P 500 member with 55+ years of consecutive monthly dividends, 31 years of dividend growth, and 98.8% portfolio occupancy across 15,600+ properties [1]. Q2 2026 revenue of $1.55B beat expectations (+9.7% YoY), AFFO per share rose 3.8% to $1.09, and full-year AFFO guidance was raised to $4.44-$4.45 [2]. The 5.87% dividend yield at $55.55 provides compelling income with 73% AFFO payout ratio ensuring healthy coverage. At ~12.5x P/AFFO, the stock trades at the low end of its historical range, offering potential for multiple expansion if interest rates decline. Investment volume guidance raised to $10B — the largest in company history — supported by Apollo/GIC private capital partnerships that expand deployment capacity without proportional equity dilution [2]. D/E of 74.7% is well-managed, and the triple-net-lease model creates highly durable cash flow with 98.8% occupancy and rent recapture rates above 100%.</w:t>
      </w:r>
    </w:p>
    <w:p>
      <w:pPr>
        <w:spacing w:after="120"/>
      </w:pPr>
      <w:r>
        <w:rPr>
          <w:rFonts w:ascii="Calibri" w:hAnsi="Calibri"/>
          <w:b w:val="0"/>
          <w:color w:val="3A4A28"/>
          <w:sz w:val="20"/>
        </w:rPr>
        <w:t>The bear case focuses on growth deceleration, interest rate sensitivity, and structural REIT challenges. Per-share AFFO growth of 3.8% in Q2 and 5.2% YTD is modest given the massive $10B deployment target, raising questions about whether the 933M+ share base makes per-share accretion increasingly difficult at scale [2]. GAAP Forward P/E of 35.8 creates sticker shock despite a more reasonable ~12.5x P/AFFO. The ~$31.3B in total debt creates meaningful interest rate sensitivity — if rates stay elevated, the spread between investment yields and cost of capital narrows [6]. Employee culture strain persists with concerns about below-market pay and cultural deterioration as headcount scales [3]. Tenant concentration risk remains: Walgreens (largest tenant) faces pharmacy closures, and Dollar General/Dollar Tree face operational headwinds. CEO Roy's zero insider transactions in 18 months, combined with net insider selling by other executives, sends a neutral-to-negative conviction signal [5]. Dividend growth CAGR of ~3.4% over five years, while consistent, trails inflation-adjusted returns compared to higher-growth dividend payers.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$10B 2026 investment volume target (up from $9.5B) with Q2 deploying $2.6B, and AFFO guidance raised to $4.44-$4.45 reflecting accelerating deployment capacity and portfolio quality [2]</w:t>
      </w:r>
    </w:p>
    <w:p>
      <w:pPr>
        <w:spacing w:before="40" w:after="40"/>
        <w:ind w:left="283"/>
      </w:pPr>
      <w:r>
        <w:rPr>
          <w:rFonts w:ascii="Calibri" w:hAnsi="Calibri"/>
          <w:b/>
          <w:color w:val="4A6B25"/>
          <w:sz w:val="20"/>
        </w:rPr>
        <w:t xml:space="preserve">2. </w:t>
      </w:r>
      <w:r>
        <w:rPr>
          <w:rFonts w:ascii="Calibri" w:hAnsi="Calibri"/>
          <w:b w:val="0"/>
          <w:color w:val="3A4A28"/>
          <w:sz w:val="20"/>
        </w:rPr>
        <w:t>Private capital fund strategy — Apollo/GIC partnerships and $1.7B U.S. Core Plus fund — creating new fee income streams and expanding investment capacity beyond traditional equity REIT model [2]</w:t>
      </w:r>
    </w:p>
    <w:p>
      <w:pPr>
        <w:spacing w:before="40" w:after="40"/>
        <w:ind w:left="283"/>
      </w:pPr>
      <w:r>
        <w:rPr>
          <w:rFonts w:ascii="Calibri" w:hAnsi="Calibri"/>
          <w:b/>
          <w:color w:val="4A6B25"/>
          <w:sz w:val="20"/>
        </w:rPr>
        <w:t xml:space="preserve">3. </w:t>
      </w:r>
      <w:r>
        <w:rPr>
          <w:rFonts w:ascii="Calibri" w:hAnsi="Calibri"/>
          <w:b w:val="0"/>
          <w:color w:val="3A4A28"/>
          <w:sz w:val="20"/>
        </w:rPr>
        <w:t>Interest rate decline cycle could compress cap rates and expand Realty Income's valuation multiple while reducing the ~$31.3B debt cost burden, with 5.87% dividend yield providing attractive current income during the wait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Per-share AFFO growth of only 3.8-5.2% despite $10B annual deployment suggests diminishing per-share accretion as the 933M+ share base absorbs massive equity issuance for acquisitions [2]</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 ~$31.3B total debt means sustained higher-for-longer rates compress investment spreads and increase refinancing costs, while GAAP forward P/E of 35.8 reflects elevated valuation multiples [6]</w:t>
      </w:r>
    </w:p>
    <w:p>
      <w:pPr>
        <w:spacing w:before="40" w:after="40"/>
        <w:ind w:left="283"/>
      </w:pPr>
      <w:r>
        <w:rPr>
          <w:rFonts w:ascii="Calibri" w:hAnsi="Calibri"/>
          <w:b/>
          <w:color w:val="4A6B25"/>
          <w:sz w:val="20"/>
        </w:rPr>
        <w:t xml:space="preserve">3. </w:t>
      </w:r>
      <w:r>
        <w:rPr>
          <w:rFonts w:ascii="Calibri" w:hAnsi="Calibri"/>
          <w:b w:val="0"/>
          <w:color w:val="3A4A28"/>
          <w:sz w:val="20"/>
        </w:rPr>
        <w:t>Tenant credit risk — largest tenants including Walgreens (pharmacy closures), Dollar General, and Dollar Tree face operational headwinds; occupancy dipped from 98.9% to 98.8%, and any acceleration in tenant defaults would impact distributable cash flow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Realty Income's business is structurally immune to AI disruption — the company owns physical commercial properties under long-term triple-net leases where tenants (Walgreens, Dollar General, FedEx, Wynn Resorts) pay contractual rent regardless of AI's impact on the broader economy [1]. Net-lease REITs are landlords collecting rent — AI cannot replicate or substitute physical property ownership. The 15,600+ property portfolio with 98.8% occupancy across 90 industries provides maximum diversification against any single-sector disruption [2]. AI may benefit Realty Income indirectly by increasing demand for data center properties, a growing asset class in the portfolio. Score limited to 8 because some tenant categories (casual dining, fitness centers) could face marginal AI-related demand shifts over time. AI Opportunity (0/1): No AI-related revenue. The company uses predictive analytics internally for underwriting but does not sell AI products or generate AI-specific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Realty Income Corporate Overview — 15,600+ Properties, 90 Industries, 55-Year Monthly Dividend History, Spirit Realty $9.3B Acquisition January 2024, realtyincome.com,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Realty Income Q2 2026 Earnings — Revenue $1.55B (+9.7% YoY, Beat by 7.33%), AFFO/Share $1.09 (+3.8%), Raised AFFO Guidance to $4.44-$4.45, Investment Volume Raised to $10B, Occupancy 98.8%, Apollo/GIC Partnerships, $1.7B Core Plus Fund, August 2026</w:t>
      </w:r>
    </w:p>
    <w:p>
      <w:pPr>
        <w:spacing w:before="20" w:after="20"/>
        <w:ind w:left="170"/>
      </w:pPr>
      <w:r>
        <w:rPr>
          <w:rFonts w:ascii="Calibri" w:hAnsi="Calibri"/>
          <w:b/>
          <w:color w:val="4A6B25"/>
          <w:sz w:val="15"/>
        </w:rPr>
        <w:t xml:space="preserve">3. </w:t>
      </w:r>
      <w:r>
        <w:rPr>
          <w:rFonts w:ascii="Calibri" w:hAnsi="Calibri"/>
          <w:b w:val="0"/>
          <w:color w:val="3A4A28"/>
          <w:sz w:val="17"/>
        </w:rPr>
        <w:t>Realty Income Leadership and Culture — CEO Sumit Roy, Average Tenure ~5 Years, 50% Executive Promotion from Within, CLO Departure Sept 2026, Culture Concerns — Glassdoor, realtyincome.com/careers,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Realty Income ESG — Newsweek 'Most Responsible Companies 2026', GRI/TCFD Aligned Sustainability Reporting, Green Lease Coverage,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Realty Income Insider Activity — CEO Roy Zero Transactions 18 Months, Net Insider Selling 10,000+ Shares, Zero Purchases — GuruFocus,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 O Key Statistics: Stock Price $55.55, Forward P/E 35.8, D/E 74.7%, ROE 3.2%, Profit Margin 20.9%, PEG 2.78, $31.3B Total Debt, Avg Volume 6.9M,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