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PAAS</w:t>
      </w:r>
      <w:r>
        <w:rPr>
          <w:rFonts w:ascii="Calibri" w:hAnsi="Calibri"/>
          <w:b/>
          <w:color w:val="1A2010"/>
          <w:sz w:val="40"/>
        </w:rPr>
        <w:t xml:space="preserve">  Pan American Silver Corp.</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Canada</w:t>
      </w:r>
    </w:p>
    <w:p>
      <w:pPr>
        <w:spacing w:after="80"/>
      </w:pPr>
      <w:r>
        <w:rPr>
          <w:rFonts w:ascii="Calibri" w:hAnsi="Calibri"/>
          <w:b w:val="0"/>
          <w:color w:val="3A4A28"/>
          <w:sz w:val="20"/>
        </w:rPr>
        <w:t>Pan American Silver Corp. is one of the world's largest precious metals producers, operating twelve silver and gold mines across Chile, Peru, Brazil, Mexico, Canada, Argentina, Bolivia, and Guatemala through Silver and Gold segments. Following the transformative $10B acquisition of Yamana Gold in 2023, the company generates TTM revenue of $4.3B with 32% profit margins, 22% ROE, and $1.3B in free cash flow, holding a net cash position of $864M. Founded in 1979 and headquartered in Vancouver, Canada, PAAS employs 9,348 people.</w:t>
      </w:r>
    </w:p>
    <w:p>
      <w:r>
        <w:rPr>
          <w:rFonts w:ascii="Calibri" w:hAnsi="Calibri"/>
          <w:b/>
          <w:color w:val="6E8450"/>
          <w:sz w:val="18"/>
        </w:rPr>
        <w:t>9,348 Employees · https://www.panamericansilver.com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$10B acquisition of Yamana Gold in March 2023 was transformative, doubling Pan American's mine portfolio from six to twelve operations and diversifying from a silver-focused producer to a major diversified precious metals company with the Gold segment now contributing approximately half of production value [1][2]. AI Deployment (0/2): No evidence of AI-powered products or measurable AI-driven cost savings; operational technology remains focused on traditional mining automation and process optimization [3]. Market Share (1/2): Pan American is a top-tier primary silver producer and meaningful gold producer operating twelve mines across seven countries, though it competes behind Newmont, Barrick, and Agnico Eagle in gold [1]. Product Pipeline (1/2): Active brownfield expansion includes the La Colorada Skarn project in Mexico and potential Escobal mine restart in Guatemala, though permitting challenges cloud specific timelines [1][2]. R&amp;D Intensity (0/1): Mining R&amp;D spend is inherently low relative to technology sectors; no above-industry intensity data available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Pan American's purpose centers on 'operating responsibly, building enduring relationships with stakeholders, and generating value through sustainable mining' — clear and earnest but indistinguishable from any responsible mining peer, lacking a vision that would differentiate strategic decisions [5]. Community Impact (1/2): The 2024 Sustainability Report earned S&amp;P Global recognition in the top 7% of Metals &amp; Mining and an MSCI ESG upgrade from BBB to A [4]. However, ongoing Xinka community opposition to the Escobal mine in Guatemala and advocacy group criticism of Indigenous rights practices temper the assessment. Employee Retention (1/2): CEO Michael Steinmann's 11-year tenure since 2016 and a stable COO/CFO team provide leadership continuity, though no specific voluntary turnover or average tenure data is publicly available [5]. Insider Buying (0/2): No evidence of meaningful net insider buying by senior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1.6% below 2% threshold). Pan American's balance sheet is exceptionally clean: D/E of 11.4% reflects near-zero leverage with $1.7B cash exceeding $841M debt (score 1.0) [3]. ROE of 22.4% exceeds the 15% target (score 1.0, 2x weight), and profit margin of 32.0% surpasses the 20% threshold (score 1.0), both driven by elevated precious metal prices [1][2]. Revenue growth of 38.4% YoY and estimated 5-year CAGR of approximately 22% both score 1.0 [1]. Forward P/E of 10.1x is well below the 20x target (score 1.0) [3]. The only drag is the PEG ratio of 7.02 (score 0.0, 2x weight), elevated because trailing growth is cyclically inflated by commodity prices. Daily dollar volume of $186M provides ample liquidity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Pan American Silver exhibits limited infinite-game orientation: the company demonstrated strategic flexibility through the transformative Yamana acquisition and maintains leadership stability under CEO Steinmann's 11-year tenure, but lacks a distinctive Just Cause beyond industry-standard 'responsible mining' and shows no evidence of infinite competitive thinking. The company plays to operate efficiently and return capital rather than advance a cause transcending any single mine or commodity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Pan American's purpose of 'responsible mining' and 'building enduring relationships' reads as standard CSR language rather than a Just Cause that would inspire sacrifice or define long-term strategy [5]. The mission does not describe a future state that doesn't yet exist; it describes table-stakes expectations for any modern mining company. Leadership decisions appear driven by commodity economics and shareholder returns rather than a unifying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Steinmann's 11-year tenure and a stable COO/CFO team provide organizational continuity across a geographically diverse operation spanning seven countries and 9,348 employees [5]. Safety is articulated as a core value with a formal Code of Ethical Conduct. However, community opposition at the Escobal mine and absence of specific employee satisfaction or turnover data prevent a higher assessment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Pan American's competitive language in earnings calls focuses on operational metrics, cost control, and production guidance rather than acknowledging competitors' strengths or using competitive pressure for self-improvement [1][2]. The company operates within a finite commodity-production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Yamana acquisition represented genuine strategic evolution — Pan American transformed from a primarily silver-focused miner into a diversified precious metals producer, adding six significant gold mines and diversifying revenue across two metal groups [1]. While incremental rather than paradigm-shifting, this willingness to evolve the business model demonstrates adaptability that many commodity producers lack.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$10B Yamana acquisition required conviction to double the company's scale during uncertain precious metal prices, fundamentally changing the portfolio mix [1][2]. Management maintained dividend payments during commodity downturns. However, these decisions were driven by financial opportunity rather than principle, and no evidence of sacrificing near-term results for long-term capability was found beyond the acquisition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Pan American Silver at $46.27 with a $19.2B market cap delivers one of the most compelling value profiles in precious metals. The stock trades at just 10.1x forward earnings despite generating $1.3B in free cash flow over the trailing twelve months, with a net cash position of $864M providing a fortress balance sheet [1][3]. Q1 2026 produced $456M in net earnings on approximately $1.2B revenue, while Q2 saw $305M in net earnings on approximately $1.1B revenue, with the 38% YoY revenue surge driven by silver prices above $30/oz and gold exceeding $2,500/oz [1][2]. The twelve-mine portfolio across seven countries provides geographic and metal diversification, while profit margins of 32% and ROE of 22% reflect powerful operating leverage to sustained precious metal strength.</w:t>
      </w:r>
    </w:p>
    <w:p>
      <w:pPr>
        <w:spacing w:after="120"/>
      </w:pPr>
      <w:r>
        <w:rPr>
          <w:rFonts w:ascii="Calibri" w:hAnsi="Calibri"/>
          <w:b w:val="0"/>
          <w:color w:val="3A4A28"/>
          <w:sz w:val="20"/>
        </w:rPr>
        <w:t>The bear case centers on commodity cyclicality and peak-earnings risk. Pan American's profitability is heavily dependent on near-record gold and silver prices — a 20% decline in precious metals would compress margins significantly, as 55-60% of revenue sensitivity is commodity-price driven with limited hedging [1][3]. The PEG ratio of 7.02 signals the market views current earnings growth as cyclically inflated rather than sustainably organic, and the Yamana integration still carries execution risk across complex Latin American jurisdictions. The Escobal mine in Guatemala remains suspended due to Xinka community opposition, representing significant invested capital generating zero revenue [4]. Management's Q3 2026 guidance already flagged gold production shortfalls of 3,000-6,000 ounces below the low end of quarterly guidance at El Penon and Jacobina, suggesting near-term disappointment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precious metal strength with gold above $2,500/oz and silver above $30/oz driving record free cash flow and further dividend increases — the quarterly payout was hiked 80% from $0.10 to $0.18 in 2026, with further raises likely if prices hold [1][2]</w:t>
      </w:r>
    </w:p>
    <w:p>
      <w:pPr>
        <w:spacing w:before="40" w:after="40"/>
        <w:ind w:left="283"/>
      </w:pPr>
      <w:r>
        <w:rPr>
          <w:rFonts w:ascii="Calibri" w:hAnsi="Calibri"/>
          <w:b/>
          <w:color w:val="4A6B25"/>
          <w:sz w:val="20"/>
        </w:rPr>
        <w:t xml:space="preserve">2. </w:t>
      </w:r>
      <w:r>
        <w:rPr>
          <w:rFonts w:ascii="Calibri" w:hAnsi="Calibri"/>
          <w:b w:val="0"/>
          <w:color w:val="3A4A28"/>
          <w:sz w:val="20"/>
        </w:rPr>
        <w:t>La Colorada Skarn project development providing next-generation organic production growth in Mexico, potentially adding significant polymetallic output to replace depleting upper mine levels [1]</w:t>
      </w:r>
    </w:p>
    <w:p>
      <w:pPr>
        <w:spacing w:before="40" w:after="40"/>
        <w:ind w:left="283"/>
      </w:pPr>
      <w:r>
        <w:rPr>
          <w:rFonts w:ascii="Calibri" w:hAnsi="Calibri"/>
          <w:b/>
          <w:color w:val="4A6B25"/>
          <w:sz w:val="20"/>
        </w:rPr>
        <w:t xml:space="preserve">3. </w:t>
      </w:r>
      <w:r>
        <w:rPr>
          <w:rFonts w:ascii="Calibri" w:hAnsi="Calibri"/>
          <w:b w:val="0"/>
          <w:color w:val="3A4A28"/>
          <w:sz w:val="20"/>
        </w:rPr>
        <w:t>Potential Escobal mine restart in Guatemala adding approximately 15-20M oz of annual silver production from one of the world's highest-grade silver deposits, pending community consultation resolution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Precious metal price cyclicality — reversion to gold below $2,000/oz and silver below $22/oz would compress profit margins from 32% toward single digits, eroding the free cash flow profile that supports current valuation and dividends [1][3]</w:t>
      </w:r>
    </w:p>
    <w:p>
      <w:pPr>
        <w:spacing w:before="40" w:after="40"/>
        <w:ind w:left="283"/>
      </w:pPr>
      <w:r>
        <w:rPr>
          <w:rFonts w:ascii="Calibri" w:hAnsi="Calibri"/>
          <w:b/>
          <w:color w:val="4A6B25"/>
          <w:sz w:val="20"/>
        </w:rPr>
        <w:t xml:space="preserve">2. </w:t>
      </w:r>
      <w:r>
        <w:rPr>
          <w:rFonts w:ascii="Calibri" w:hAnsi="Calibri"/>
          <w:b w:val="0"/>
          <w:color w:val="3A4A28"/>
          <w:sz w:val="20"/>
        </w:rPr>
        <w:t>Escobal mine suspension extending indefinitely due to Indigenous community opposition in Guatemala, with significant invested capital generating zero returns and ongoing carrying costs while social license remains unresolved [4]</w:t>
      </w:r>
    </w:p>
    <w:p>
      <w:pPr>
        <w:spacing w:before="40" w:after="40"/>
        <w:ind w:left="283"/>
      </w:pPr>
      <w:r>
        <w:rPr>
          <w:rFonts w:ascii="Calibri" w:hAnsi="Calibri"/>
          <w:b/>
          <w:color w:val="4A6B25"/>
          <w:sz w:val="20"/>
        </w:rPr>
        <w:t xml:space="preserve">3. </w:t>
      </w:r>
      <w:r>
        <w:rPr>
          <w:rFonts w:ascii="Calibri" w:hAnsi="Calibri"/>
          <w:b w:val="0"/>
          <w:color w:val="3A4A28"/>
          <w:sz w:val="20"/>
        </w:rPr>
        <w:t>Geographic and political risk concentration in Latin America, where seven-country operations expose Pan American to currency devaluation, regulatory changes, mining tax increases, and social license challenges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Silver and gold mining is structurally immune to AI substitution — extracting, processing, and refining precious metals requires physical infrastructure, heavy equipment, specialized geology expertise, and regulatory permitting that AI cannot replicate [3][5]. Silver has growing industrial applications in electronics, photovoltaic solar cells, and EV components that directly benefit from AI-driven technology adoption, potentially increasing demand. Gold's role as a financial safe haven operates entirely independent of AI dynamics. No analysts have identified AI as a risk factor for Pan American's business model. AI Opportunity (0/1): Pan American does not generate revenue from AI-related products or services; mining automation improvements are incremental and do not constitute a quantifiable AI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Pan American Silver Q2 2026 Earnings Release — Revenue ~$1.1B (+38% YoY), net earnings $305M, raised 2026 taxes-paid guidance to $585-635M, August 2026</w:t>
      </w:r>
    </w:p>
    <w:p>
      <w:pPr>
        <w:spacing w:before="20" w:after="20"/>
        <w:ind w:left="170"/>
      </w:pPr>
      <w:r>
        <w:rPr>
          <w:rFonts w:ascii="Calibri" w:hAnsi="Calibri"/>
          <w:b/>
          <w:color w:val="4A6B25"/>
          <w:sz w:val="15"/>
        </w:rPr>
        <w:t xml:space="preserve">2. </w:t>
      </w:r>
      <w:r>
        <w:rPr>
          <w:rFonts w:ascii="Calibri" w:hAnsi="Calibri"/>
          <w:b w:val="0"/>
          <w:color w:val="3A4A28"/>
          <w:sz w:val="17"/>
        </w:rPr>
        <w:t>Pan American Silver Q1 2026 Earnings Release — Revenue ~$1.2B, net earnings $456M, attributable revenue ~$1.3B including Juanicipio share, May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PAAS key statistics and financial data,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Pan American Silver 2024 Sustainability Report — S&amp;P Global top 7% Metals &amp; Mining, MSCI ESG upgrade BBB to A, community rights criticism, BusinessWire May 2025</w:t>
      </w:r>
    </w:p>
    <w:p>
      <w:pPr>
        <w:spacing w:before="20" w:after="20"/>
        <w:ind w:left="170"/>
      </w:pPr>
      <w:r>
        <w:rPr>
          <w:rFonts w:ascii="Calibri" w:hAnsi="Calibri"/>
          <w:b/>
          <w:color w:val="4A6B25"/>
          <w:sz w:val="15"/>
        </w:rPr>
        <w:t xml:space="preserve">5. </w:t>
      </w:r>
      <w:r>
        <w:rPr>
          <w:rFonts w:ascii="Calibri" w:hAnsi="Calibri"/>
          <w:b w:val="0"/>
          <w:color w:val="3A4A28"/>
          <w:sz w:val="17"/>
        </w:rPr>
        <w:t>Pan American Silver Corporate Website — Mission, leadership, CEO Michael Steinmann since 2016, panamericansilver.com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