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PAPL</w:t>
      </w:r>
      <w:r>
        <w:rPr>
          <w:rFonts w:ascii="Calibri" w:hAnsi="Calibri"/>
          <w:b/>
          <w:color w:val="1A2010"/>
          <w:sz w:val="40"/>
        </w:rPr>
        <w:t xml:space="preserve">  Pineapple Financial Inc.</w:t>
      </w:r>
    </w:p>
    <w:p>
      <w:pPr>
        <w:spacing w:after="120"/>
      </w:pPr>
      <w:r>
        <w:rPr>
          <w:rFonts w:ascii="Calibri" w:hAnsi="Calibri"/>
          <w:b/>
          <w:color w:val="6E8450"/>
          <w:sz w:val="18"/>
        </w:rPr>
        <w:t>GROWTH SLEEVE · 2026-09-17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Mortgage Finance · NYSE American · Canada</w:t>
      </w:r>
    </w:p>
    <w:p>
      <w:pPr>
        <w:spacing w:after="80"/>
      </w:pPr>
      <w:r>
        <w:rPr>
          <w:rFonts w:ascii="Calibri" w:hAnsi="Calibri"/>
          <w:b w:val="0"/>
          <w:color w:val="3A4A28"/>
          <w:sz w:val="20"/>
        </w:rPr>
        <w:t>Pineapple Financial Inc. is a Canadian mortgage brokerage and technology platform ('MyPineapple') serving mortgage agents, brokers, and consumers, offering brokerage, back-office, pre-underwriting, and insurance-adjacent services. In late 2025/2026 the company pivoted a significant portion of its balance sheet toward a digital asset treasury strategy centered on Injective (INJ) tokens, targeting $100M deployed on-chain for staking at an expected ~12.75% yield, alongside continued core mortgage operations [3]. Nine-month fiscal 2026 core mortgage revenue was down 9.2% year-over-year even as the company reported large non-cash gains on digital assets [1].</w:t>
      </w:r>
    </w:p>
    <w:p>
      <w:r>
        <w:rPr>
          <w:rFonts w:ascii="Calibri" w:hAnsi="Calibri"/>
          <w:b/>
          <w:color w:val="6E8450"/>
          <w:sz w:val="18"/>
        </w:rPr>
        <w:t>39 Employees · https://gopineapple.com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Pineapple has layered a $100M Injective digital-asset treasury strategy onto a core mortgage brokerage business that saw nine-month revenue decline 9.2% year-over-year, reflecting genuine innovation-seeking but also real strategic drift away from the core mission during a period of core-business softness [1][3]. AI Deployment (2/2): Pineapple's AI-powered agent recruiting and onboarding tools are 'performing precisely as intended,' cutting onboarding time and helping add 83 new licensed agents since the start of 2026, and the company launched the mortgage industry's first AI-generated broker websites via its proprietary Maui platform, both concrete and quantified deployments [2]. Market Share (0/2): With a market cap of roughly $22.6M and gross billings guided to just $25.6M for FY2026, Pineapple is a minor player in the fragmented Canadian mortgage brokerage market [1]. Product Pipeline (1/2): FY2026 outlook of $12.5M revenue and 11.6% growth in subscription revenue reflects modest continued platform expansion. R&amp;D Intensity (0/1): No evidence of a dedicated R&amp;D budget was found; capital allocation has shifted heavily toward digital asset accumulation rather than core-business product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Pineapple's stated 'people-first mortgage brokerage' philosophy -- explicitly framing employee care as the mechanism for customer care -- is specific and was validated externally when the company won Canadian Mortgage Professionals' Top Mortgage Employer award across Benefits &amp; Advancement, Culture &amp; Reputation, Innovation, Sustainability, and DEI categories [2]. Community Impact (0/2): No distinctive community investment program beyond the employer awards was identified. Employee Retention (1/2): The Top Mortgage Employer recognition across multiple culture-related categories is credible third-party evidence of above-average workplace quality for a company of this size. Insider Buying (0/2): No evidence of meaningful net insider buying was identified in the research period.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HARD RULE TRIGGERED -- LIQUIDITY FLOOR: Average daily dollar volume is approximately $277,000 (309,845 shares x $0.89), well below the $1,000,000 minimum threshold, so Infrastructure is scored 0 regardless of other metrics per the liquidity floor rule. Underlying fundamentals are also weak on a standalone basis: profit margin of -114.1%, ROE of -12.1%, D/E of 42.7%, and revenue growth YoY of -16.7% all reflect a small, unprofitable brokerage in the midst of a strategic pivot [4]. The stock's extreme thinness (recent 5-day average volume of just ~37,780 shares) makes any meaningful position difficult to enter or exit without significant price impact.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Pineapple's stated 'people-first' mission and genuine AI-driven operational innovation in its core mortgage brokerage are credible, but the pivot of a large share of corporate capital into a $100M Injective digital-asset treasury strategy -- adding crypto-industry figures to the board and advisory committee -- reads more as opportunistic financial engineering during a period of core-business revenue decline than as a mission-aligned existential adaptation. The mix of genuine culture credentials against a speculative treasury pivot that dwarfs the underlying mortgage business in dollar terms places Pineapple at the low end of a mixed, not clearly infinite, orientation.</w:t>
      </w:r>
    </w:p>
    <w:p>
      <w:pPr>
        <w:spacing w:before="200" w:after="40"/>
      </w:pPr>
      <w:r>
        <w:rPr>
          <w:rFonts w:ascii="Calibri" w:hAnsi="Calibri"/>
          <w:b/>
          <w:color w:val="1A2010"/>
          <w:sz w:val="22"/>
        </w:rPr>
        <w:t>Just Cause</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The 'people-first' mortgage mission is stated and has some third-party validation via employer awards, but the $100M Injective treasury strategy -- larger in dollar terms than the entire mortgage brokerage's guided FY2026 revenue -- suggests the company's actual capital-allocation priority has shifted toward speculative treasury accumulation rather than the stated customer/agent mission [1][3].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Top Mortgage Employer recognition across Benefits &amp; Advancement and Culture &amp; Reputation categories is credible evidence of a reasonably strong internal culture for the core brokerage team, though no data exists on how the crypto-treasury pivot has affected employee morale or focus.</w:t>
      </w:r>
    </w:p>
    <w:p>
      <w:pPr>
        <w:spacing w:before="200" w:after="40"/>
      </w:pPr>
      <w:r>
        <w:rPr>
          <w:rFonts w:ascii="Calibri" w:hAnsi="Calibri"/>
          <w:b/>
          <w:color w:val="1A2010"/>
          <w:sz w:val="22"/>
        </w:rPr>
        <w:t>Worthy Rivals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specific evidence was found of Pineapple engaging competitors in a learning-oriented or ecosystem-elevating way within the fragmented Canadian mortgage brokerage market; competitive positioning appears standard for the industry.</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Injective digital-asset treasury strategy is a genuine, dramatic reinvention of the balance sheet and strategic identity relative to a pure mortgage brokerage, satisfying the letter of existential flexibility even if the underlying rationale (treasury yield-seeking) is more financial-engineering than mission-driven adaptation [3].</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Committing $100M to a single-token digital asset strategy is a bold, differentiated bet for a company with a ~$22.6M market cap, but it reads as high-risk financial speculation rather than the kind of mission-protective sacrifice Sinek associates with courageous leadership, especially layered on top of a declining core business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Pineapple's core mortgage brokerage shows genuine, quantified AI-driven operational innovation -- AI-powered agent recruiting and onboarding tools have measurably accelerated agent additions, and the Maui platform's AI-generated broker websites are a first-in-industry product -- while the company won external recognition as a Top Mortgage Employer across multiple culture categories [2]. Management has also articulated a path to profitability, reporting positive nine-month Adjusted EBITDA of approximately $479,000 and FY2026 guidance of $25.6M gross billings / $12.5M revenue [1]. For investors comfortable with the digital-asset treasury exposure, the $100M Injective strategy offers a call option on crypto-adjacent yield generation (~12.75% expected staking yield) layered onto the core brokerage.</w:t>
      </w:r>
    </w:p>
    <w:p>
      <w:pPr>
        <w:spacing w:after="120"/>
      </w:pPr>
      <w:r>
        <w:rPr>
          <w:rFonts w:ascii="Calibri" w:hAnsi="Calibri"/>
          <w:b w:val="0"/>
          <w:color w:val="3A4A28"/>
          <w:sz w:val="20"/>
        </w:rPr>
        <w:t>The bear case is overwhelming for a screening framework focused on durable excellence: PAPL triggers the hard liquidity floor with average daily dollar volume of roughly $277,000, well under the $1M minimum, meaning Infrastructure scores zero and the stock is effectively uninvestable at any meaningful position size [4]. The core mortgage business itself is shrinking (nine-month revenue down 9.2% YoY) with a -114.1% profit margin and -12.1% ROE, and the $100M Injective treasury commitment -- financed against a company with a ~$22.6M market cap -- introduces concentrated, unhedged crypto-price risk that is fundamentally disconnected from the company's stated mortgage-brokerage mission [1][3][4]. The addition of Injective Foundation-affiliated directors to the board raises governance-alignment questions about whose interests the treasury strategy ultimately serves.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AI-powered recruiting and onboarding tools continuing to drive agent count growth (83 added since early 2026) could restore core mortgage revenue growth if sustained [2]</w:t>
      </w:r>
    </w:p>
    <w:p>
      <w:pPr>
        <w:spacing w:before="40" w:after="40"/>
        <w:ind w:left="283"/>
      </w:pPr>
      <w:r>
        <w:rPr>
          <w:rFonts w:ascii="Calibri" w:hAnsi="Calibri"/>
          <w:b/>
          <w:color w:val="4A6B25"/>
          <w:sz w:val="20"/>
        </w:rPr>
        <w:t xml:space="preserve">2. </w:t>
      </w:r>
      <w:r>
        <w:rPr>
          <w:rFonts w:ascii="Calibri" w:hAnsi="Calibri"/>
          <w:b w:val="0"/>
          <w:color w:val="3A4A28"/>
          <w:sz w:val="20"/>
        </w:rPr>
        <w:t>Injective treasury staking yield (~12.75% target) generating recurring digital-asset income that supplements thin core brokerage margins, if INJ token price and staking economics hold [3]</w:t>
      </w:r>
    </w:p>
    <w:p>
      <w:pPr>
        <w:spacing w:before="40" w:after="40"/>
        <w:ind w:left="283"/>
      </w:pPr>
      <w:r>
        <w:rPr>
          <w:rFonts w:ascii="Calibri" w:hAnsi="Calibri"/>
          <w:b/>
          <w:color w:val="4A6B25"/>
          <w:sz w:val="20"/>
        </w:rPr>
        <w:t xml:space="preserve">3. </w:t>
      </w:r>
      <w:r>
        <w:rPr>
          <w:rFonts w:ascii="Calibri" w:hAnsi="Calibri"/>
          <w:b w:val="0"/>
          <w:color w:val="3A4A28"/>
          <w:sz w:val="20"/>
        </w:rPr>
        <w:t>Achieving the FY2026 outlook of $25.6M gross billings / $12.5M revenue and continued positive Adjusted EBITDA would be the first sustained profitability proof point for the core business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HARD RULE: average daily dollar volume of ~$277,000 is below the $1M liquidity floor, triggering an automatic Infrastructure score of 0 and signaling the stock is difficult to trade at scale [4]</w:t>
      </w:r>
    </w:p>
    <w:p>
      <w:pPr>
        <w:spacing w:before="40" w:after="40"/>
        <w:ind w:left="283"/>
      </w:pPr>
      <w:r>
        <w:rPr>
          <w:rFonts w:ascii="Calibri" w:hAnsi="Calibri"/>
          <w:b/>
          <w:color w:val="4A6B25"/>
          <w:sz w:val="20"/>
        </w:rPr>
        <w:t xml:space="preserve">2. </w:t>
      </w:r>
      <w:r>
        <w:rPr>
          <w:rFonts w:ascii="Calibri" w:hAnsi="Calibri"/>
          <w:b w:val="0"/>
          <w:color w:val="3A4A28"/>
          <w:sz w:val="20"/>
        </w:rPr>
        <w:t>Core mortgage brokerage revenue declined 9.2% over the first nine months of fiscal 2026, and the business posted a -114.1% profit margin, indicating the underlying operating business remains unprofitable independent of digital-asset gains [1][4]</w:t>
      </w:r>
    </w:p>
    <w:p>
      <w:pPr>
        <w:spacing w:before="40" w:after="40"/>
        <w:ind w:left="283"/>
      </w:pPr>
      <w:r>
        <w:rPr>
          <w:rFonts w:ascii="Calibri" w:hAnsi="Calibri"/>
          <w:b/>
          <w:color w:val="4A6B25"/>
          <w:sz w:val="20"/>
        </w:rPr>
        <w:t xml:space="preserve">3. </w:t>
      </w:r>
      <w:r>
        <w:rPr>
          <w:rFonts w:ascii="Calibri" w:hAnsi="Calibri"/>
          <w:b w:val="0"/>
          <w:color w:val="3A4A28"/>
          <w:sz w:val="20"/>
        </w:rPr>
        <w:t>The $100M Injective digital-asset treasury commitment concentrates a small-cap company's balance sheet in a single volatile crypto asset, with governance now including Injective Foundation-affiliated board members whose incentives may not fully align with mortgage-brokerage shareholders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Mortgage brokerage is a middleman function increasingly exposed to AI-driven direct-to-consumer lending platforms and automated underwriting that could disintermediate brokers over time, a real structural threat to Pineapple's core revenue model. AI Opportunity (1/1): Pineapple has responded proactively rather than defensively -- its AI-powered agent recruiting/onboarding tools show measurable impact (83 new agents added since early 2026) and the Maui platform's AI-generated broker websites are a genuine, quantifiable first-in-industry product deployment, earning the opportunity tiebreaker despite the underlying structural risk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Pineapple Financial fiscal Q1/Q2 2026 financial results and FY2026 outlook -- The Globe and Mail (Newsfile), StockTitan, Nasdaq press release, May-August 2026</w:t>
      </w:r>
    </w:p>
    <w:p>
      <w:pPr>
        <w:spacing w:before="20" w:after="20"/>
        <w:ind w:left="170"/>
      </w:pPr>
      <w:r>
        <w:rPr>
          <w:rFonts w:ascii="Calibri" w:hAnsi="Calibri"/>
          <w:b/>
          <w:color w:val="4A6B25"/>
          <w:sz w:val="15"/>
        </w:rPr>
        <w:t xml:space="preserve">2. </w:t>
      </w:r>
      <w:r>
        <w:rPr>
          <w:rFonts w:ascii="Calibri" w:hAnsi="Calibri"/>
          <w:b w:val="0"/>
          <w:color w:val="3A4A28"/>
          <w:sz w:val="17"/>
        </w:rPr>
        <w:t>Pineapple Financial AI-powered recruiting/onboarding and Maui AI-generated broker websites -- Newsfilecorp, gopineapple.com, 2026</w:t>
      </w:r>
    </w:p>
    <w:p>
      <w:pPr>
        <w:spacing w:before="20" w:after="20"/>
        <w:ind w:left="170"/>
      </w:pPr>
      <w:r>
        <w:rPr>
          <w:rFonts w:ascii="Calibri" w:hAnsi="Calibri"/>
          <w:b/>
          <w:color w:val="4A6B25"/>
          <w:sz w:val="15"/>
        </w:rPr>
        <w:t xml:space="preserve">3. </w:t>
      </w:r>
      <w:r>
        <w:rPr>
          <w:rFonts w:ascii="Calibri" w:hAnsi="Calibri"/>
          <w:b w:val="0"/>
          <w:color w:val="3A4A28"/>
          <w:sz w:val="17"/>
        </w:rPr>
        <w:t>Pineapple Financial Injective (INJ) Digital Asset Treasury strategy and board appointments -- Newsfilecorp, Crypto.com, Yahoo Finance, Barchart, December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yfinance -- PAPL key statistics: market cap $22.6M, average volume ~310K shares, price $0.89, profit margin -114.1%,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