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PARR</w:t>
      </w:r>
      <w:r>
        <w:rPr>
          <w:rFonts w:ascii="Calibri" w:hAnsi="Calibri"/>
          <w:b/>
          <w:color w:val="1A2010"/>
          <w:sz w:val="40"/>
        </w:rPr>
        <w:t xml:space="preserve">  Par Pacific Holdings, Inc.</w:t>
      </w:r>
    </w:p>
    <w:p>
      <w:pPr>
        <w:spacing w:after="120"/>
      </w:pPr>
      <w:r>
        <w:rPr>
          <w:rFonts w:ascii="Calibri" w:hAnsi="Calibri"/>
          <w:b/>
          <w:color w:val="6E8450"/>
          <w:sz w:val="18"/>
        </w:rPr>
        <w:t>GROWTH SLEEVE · 2026-09-24 · Inspire: 47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Refining &amp; Marketing · NYSE · United States</w:t>
      </w:r>
    </w:p>
    <w:p>
      <w:pPr>
        <w:spacing w:after="80"/>
      </w:pPr>
      <w:r>
        <w:rPr>
          <w:rFonts w:ascii="Calibri" w:hAnsi="Calibri"/>
          <w:b w:val="0"/>
          <w:color w:val="3A4A28"/>
          <w:sz w:val="20"/>
        </w:rPr>
        <w:t>Par Pacific Holdings is an energy company that owns and operates refineries in Hawaii, Montana, Washington, and Wyoming, converting crude oil into gasoline, distillate, asphalt, and other products. The company also operates convenience stores and fuel retail outlets under the Hele, 76, and nomnom brands, and a logistics segment with terminals, pipelines, and marine vessels. Under CEO William Monteleone (appointed April 2024), the company reported Q2 2026 revenue of $2.97B with record refining margins and a 125% system-wide capture rate. Par Pacific recently formed Hawaii Renewables, LLC, a joint venture with Mitsubishi and ENEOS for renewable fuels.</w:t>
      </w:r>
    </w:p>
    <w:p>
      <w:r>
        <w:rPr>
          <w:rFonts w:ascii="Calibri" w:hAnsi="Calibri"/>
          <w:b/>
          <w:color w:val="6E8450"/>
          <w:sz w:val="18"/>
        </w:rPr>
        <w:t>1,758 Employees · https://www.parpacific.com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Par Pacific has executed a series of strategic refinery acquisitions over the past five years (Montana, Washington, Wyoming assets), expanding from a single Hawaii refinery to a four-refinery system, and formed Hawaii Renewables LLC with Mitsubishi and ENEOS to enter renewable fuels [3]. However, these are acquisition-driven extensions rather than transformative pivots — the core refining business model is unchanged. AI Deployment (0/2): No evidence of AI-powered products shipping to customers or specific AI-driven operational savings reported in earnings calls. The company has not disclosed any AI strategy or quantifiable AI efficiency gains [1]. Market Share (1/2): Par Pacific holds a dominant refining position in Hawaii, where geographic isolation and Jones Act protections create a structural competitive moat. The Tacoma refinery achieved record throughput of 41,200 bpd at 98.1% utilization in Q2 2026 [1]. However, the company is not a market leader nationally. Product Pipeline (1/2): Hawaii Renewables JV with Mitsubishi and ENEOS represents a specific pipeline for renewable fuel conversion, though timelines and revenue visibility remain vague [3]. R&amp;D Intensity (0/1): Refining companies do not typically invest in R&amp;D as a percentage of revenue; Par Pacific has no disclosed R&amp;D spending.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Par Pacific's corporate materials describe the company as 'a leading energy company providing renewable and conventional fuels,' a generic statement interchangeable with any peer refiner. There is no distinctive purpose articulated beyond operational excellence and shareholder returns [3]. Community Impact (0/2): While Par Pacific has published sustainability principles and announced the Hawaii Renewables JV, no specific charitable programs, community investment initiatives, or foundation activities with dollar amounts were identified [3]. Employee Retention (0/2): No specific employee retention, tenure, or turnover data was found. The company employs 1,758 people, and workplace culture scores have been declining with below-average ratings relative to energy sector peers [4]. Insider Buying (0/2): Net insider selling was identified — CEO William Monteleone conducted a multi-million dollar stock sale, signaling lack of conviction in the long-term equity story at current valuation levels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Par Pacific demonstrates exceptional financial metrics driven by record refining margins in Q2 2026. D/E of 56.2% is well below the 70% target (score 1.0), and ROE of 53.5% far exceeds the 15% threshold (score 1.0, 2x weighted) [5]. Revenue growth YoY of 56.8% reflects the Q2 2026 surge to $2.97B from $1.89B driven by a 125% system-wide refining capture rate and record Tacoma throughput [1]. Forward P/E of 5.56 scores perfectly (1.0), reflecting deep cyclical value pricing. The only drag is profit margin of 9.9%, which scores 0.50 against the 20% target, typical of capital-intensive refining operations. Revenue growth 5yr CAGR and Forward PEG were unavailable and excluded from the weighted calculation. The stock clears the liquidity floor at approximately $76.9M in average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Par Pacific operates with a predominantly finite game mindset — the company is focused on operational efficiency, margin capture, and quarterly refining economics rather than building toward an enduring purpose. The recent CEO transition to William Monteleone (April 2024) has emphasized debt reduction and operational optimization, which are sound financial decisions but reflect near-term financial engineering rather than long-term vision [1][3]. The Hawaii Renewables JV shows some forward-looking flexibility, but workplace culture scores are declining and there is no evidence of a Just Cause that would survive beyond current management.</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Par Pacific exists to refine crude oil into fuel products and generate returns for shareholders. There is no articulated vision of a better future, no purpose statement that connects the company's work to something larger than quarterly refining margins [3]. The sustainability principles on the company website are generic and do not reflect a deeply held organizational purpose.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Evidence suggests a low-trust work environment. Workplace culture ratings have declined 15% over the past 12 months, with work-life balance ratings down 21% year-over-year [4]. The company received a 2.7/5 overall culture rating, placing it 20% below typical Energy, Mining &amp; Utilities companies of similar size. The recent CEO transition and lean leadership structure (no COO layer) add organizational pressure.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Par Pacific's competitive language in earnings calls and investor presentations focuses on refining margins, capture rates, and throughput metrics relative to benchmarks — pure performance optimization rather than learning from competitors' strengths [1]. The company does not demonstrate awareness of how peer refiners' capabilities could inform its own strategic development.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formation of Hawaii Renewables LLC as a joint venture with Mitsubishi and ENEOS represents incremental strategic adaptation — preparing for a potential transition from conventional to renewable fuels [3]. The multi-refinery acquisition strategy (expanding from one to four refineries) also shows willingness to evolve the business footprint. However, the core refining model remains unchanged, and these moves are industry-standard responses to regulatory pressure rather than transformative purpose-driven pivots.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$500M senior secured notes offering that reduced gross term debt by over $130M and total net debt by over $220M demonstrates proactive balance sheet management — choosing long-term financial durability over maximizing short-term shareholder distributions [1]. The decision to form Hawaii Renewables with strategic partners shows willingness to invest in an uncertain energy transition. However, the CEO's multi-million dollar stock sale undercuts the narrative of long-term conviction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Par Pacific delivered a blowout Q2 2026 with revenue of $2.97B (+56.8% YoY), adjusted EPS of $10.10 (+556% YoY), and a system-wide refining capture rate of 125%, driven by record Tacoma refinery throughput of 41,200 bpd at 98.1% utilization [1]. The balance sheet has been significantly strengthened through a $500M refinancing that reduced net debt by $220M+, ending Q2 with approximately $1.4B in liquidity. At 5.56x forward earnings with D/E of just 56.2% and ROE of 53.5%, PARR offers deep cyclical value with a strong operational platform across four refineries in structurally advantaged markets (Hawaii, Pacific Northwest, Rocky Mountain) [5].</w:t>
      </w:r>
    </w:p>
    <w:p>
      <w:pPr>
        <w:spacing w:after="120"/>
      </w:pPr>
      <w:r>
        <w:rPr>
          <w:rFonts w:ascii="Calibri" w:hAnsi="Calibri"/>
          <w:b w:val="0"/>
          <w:color w:val="3A4A28"/>
          <w:sz w:val="20"/>
        </w:rPr>
        <w:t>The bear case centers on refining margin cyclicality and structural energy transition risk. The Q2 2026 results were driven by exceptionally favorable crack spreads that are historically mean-reverting — the 125% capture rate is unsustainable as a baseline expectation, and normalized margins would dramatically reduce EPS from the $10.10 adjusted quarterly level [1]. Revenue growth of 56.8% is entirely a function of commodity pricing, not organic volume gains (throughput actually declined 2.8%). The CEO's multi-million dollar stock sale signals potential insider concern about sustainability of current margins [4]. Profit margin of 9.9% reflects the inherently thin economics of refining. The company's concentration in Hawaii creates geographic risk (volcanic activity, tourism dependency), and the long-term energy transition toward electrification and renewables poses existential questions for conventional refiners. Workplace culture scores declining 15% YoY suggest internal execution risk during a critical strategic period.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refining margins and 125% system-wide capture rate with continued strength in Pacific Basin crack spreads through favorable supply/demand dynamics and limited West Coast refining capacity additions [1]</w:t>
      </w:r>
    </w:p>
    <w:p>
      <w:pPr>
        <w:spacing w:before="40" w:after="40"/>
        <w:ind w:left="283"/>
      </w:pPr>
      <w:r>
        <w:rPr>
          <w:rFonts w:ascii="Calibri" w:hAnsi="Calibri"/>
          <w:b/>
          <w:color w:val="4A6B25"/>
          <w:sz w:val="20"/>
        </w:rPr>
        <w:t xml:space="preserve">2. </w:t>
      </w:r>
      <w:r>
        <w:rPr>
          <w:rFonts w:ascii="Calibri" w:hAnsi="Calibri"/>
          <w:b w:val="0"/>
          <w:color w:val="3A4A28"/>
          <w:sz w:val="20"/>
        </w:rPr>
        <w:t>Hawaii Renewables LLC joint venture with Mitsubishi and ENEOS could unlock renewable fuel revenue and provide structural margin protection against energy transition regulatory pressures [3]</w:t>
      </w:r>
    </w:p>
    <w:p>
      <w:pPr>
        <w:spacing w:before="40" w:after="40"/>
        <w:ind w:left="283"/>
      </w:pPr>
      <w:r>
        <w:rPr>
          <w:rFonts w:ascii="Calibri" w:hAnsi="Calibri"/>
          <w:b/>
          <w:color w:val="4A6B25"/>
          <w:sz w:val="20"/>
        </w:rPr>
        <w:t xml:space="preserve">3. </w:t>
      </w:r>
      <w:r>
        <w:rPr>
          <w:rFonts w:ascii="Calibri" w:hAnsi="Calibri"/>
          <w:b w:val="0"/>
          <w:color w:val="3A4A28"/>
          <w:sz w:val="20"/>
        </w:rPr>
        <w:t>Significant balance sheet deleveraging ($220M+ net debt reduction in Q2 2026) creates capacity for shareholder returns or opportunistic M&amp;A if refining assets become available at distressed valuations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Refining margin cyclicality is the dominant risk — crack spreads are historically mean-reverting, and a normalization from the 125% capture rate to historical averages of 80-90% would reduce EPS by 30-40%, compressing the earnings multiple [1]</w:t>
      </w:r>
    </w:p>
    <w:p>
      <w:pPr>
        <w:spacing w:before="40" w:after="40"/>
        <w:ind w:left="283"/>
      </w:pPr>
      <w:r>
        <w:rPr>
          <w:rFonts w:ascii="Calibri" w:hAnsi="Calibri"/>
          <w:b/>
          <w:color w:val="4A6B25"/>
          <w:sz w:val="20"/>
        </w:rPr>
        <w:t xml:space="preserve">2. </w:t>
      </w:r>
      <w:r>
        <w:rPr>
          <w:rFonts w:ascii="Calibri" w:hAnsi="Calibri"/>
          <w:b w:val="0"/>
          <w:color w:val="3A4A28"/>
          <w:sz w:val="20"/>
        </w:rPr>
        <w:t>Geographic concentration in Hawaii (Jones Act-protected but exposed to tourism cyclicality, volcanic/weather risk, and high operating costs) with limited diversification despite multi-refinery expansion [3]</w:t>
      </w:r>
    </w:p>
    <w:p>
      <w:pPr>
        <w:spacing w:before="40" w:after="40"/>
        <w:ind w:left="283"/>
      </w:pPr>
      <w:r>
        <w:rPr>
          <w:rFonts w:ascii="Calibri" w:hAnsi="Calibri"/>
          <w:b/>
          <w:color w:val="4A6B25"/>
          <w:sz w:val="20"/>
        </w:rPr>
        <w:t xml:space="preserve">3. </w:t>
      </w:r>
      <w:r>
        <w:rPr>
          <w:rFonts w:ascii="Calibri" w:hAnsi="Calibri"/>
          <w:b w:val="0"/>
          <w:color w:val="3A4A28"/>
          <w:sz w:val="20"/>
        </w:rPr>
        <w:t>CEO multi-million dollar stock sale and declining workplace culture ratings (2.7/5, down 15% YoY) signal potential insider concern about earnings sustainability and internal execution risk during the energy transition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Par Pacific's core business of crude oil refining is a physical-world industrial operation that AI structurally cannot displace — refineries require massive capital-intensive infrastructure, complex chemical engineering processes, and regulatory permits that no software platform can replicate [1]. The Hawaii refining position benefits from Jones Act protections and geographic isolation that create additional barriers to AI-enabled competition. Logistics assets (pipelines, marine terminals, storage facilities) represent physical infrastructure moats. Analysts have flagged no AI substitution risk for the refining sector; if anything, AI process optimization tools could improve refinery yields and reduce operating costs. AI Opportunity (0/1): Par Pacific does not generate revenue from AI-related products or services. The company has not disclosed any AI-powered revenue contribution or AI product development initiatives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Par Pacific Holdings Q2 2026 Earnings Call — Revenue $2.97B (+56.8% YoY), Adjusted EPS $10.10, 125% Capture Rate, $500M Refinancing, Record Tacoma Throughput 41,200 bpd, August 2026</w:t>
      </w:r>
    </w:p>
    <w:p>
      <w:pPr>
        <w:spacing w:before="20" w:after="20"/>
        <w:ind w:left="170"/>
      </w:pPr>
      <w:r>
        <w:rPr>
          <w:rFonts w:ascii="Calibri" w:hAnsi="Calibri"/>
          <w:b/>
          <w:color w:val="4A6B25"/>
          <w:sz w:val="15"/>
        </w:rPr>
        <w:t xml:space="preserve">2. </w:t>
      </w:r>
      <w:r>
        <w:rPr>
          <w:rFonts w:ascii="Calibri" w:hAnsi="Calibri"/>
          <w:b w:val="0"/>
          <w:color w:val="3A4A28"/>
          <w:sz w:val="17"/>
        </w:rPr>
        <w:t>Par Pacific Holdings Q1 2026 Earnings Release — Revenue $1.82B, Net Income $54.5M vs Year-Ago Net Loss of $30.4M, May 2026</w:t>
      </w:r>
    </w:p>
    <w:p>
      <w:pPr>
        <w:spacing w:before="20" w:after="20"/>
        <w:ind w:left="170"/>
      </w:pPr>
      <w:r>
        <w:rPr>
          <w:rFonts w:ascii="Calibri" w:hAnsi="Calibri"/>
          <w:b/>
          <w:color w:val="4A6B25"/>
          <w:sz w:val="15"/>
        </w:rPr>
        <w:t xml:space="preserve">3. </w:t>
      </w:r>
      <w:r>
        <w:rPr>
          <w:rFonts w:ascii="Calibri" w:hAnsi="Calibri"/>
          <w:b w:val="0"/>
          <w:color w:val="3A4A28"/>
          <w:sz w:val="17"/>
        </w:rPr>
        <w:t>Par Pacific Holdings — Leadership, Hawaii Renewables JV with Mitsubishi/ENEOS, Sustainability Principles, Corporate Website 2026</w:t>
      </w:r>
    </w:p>
    <w:p>
      <w:pPr>
        <w:spacing w:before="20" w:after="20"/>
        <w:ind w:left="170"/>
      </w:pPr>
      <w:r>
        <w:rPr>
          <w:rFonts w:ascii="Calibri" w:hAnsi="Calibri"/>
          <w:b/>
          <w:color w:val="4A6B25"/>
          <w:sz w:val="15"/>
        </w:rPr>
        <w:t xml:space="preserve">4. </w:t>
      </w:r>
      <w:r>
        <w:rPr>
          <w:rFonts w:ascii="Calibri" w:hAnsi="Calibri"/>
          <w:b w:val="0"/>
          <w:color w:val="3A4A28"/>
          <w:sz w:val="17"/>
        </w:rPr>
        <w:t>Par Pacific Holdings — CEO Stock Sale, Glassdoor/Comparably Culture Ratings 2.7/5 (Down 15% YoY),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PARR Key Statistics: Forward P/E 5.56, D/E 56.2%, ROE 53.5%, Profit Margin 9.9%, Stock Price $76.97,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