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PBR</w:t>
      </w:r>
      <w:r>
        <w:rPr>
          <w:rFonts w:ascii="Calibri" w:hAnsi="Calibri"/>
          <w:b/>
          <w:color w:val="1A2010"/>
          <w:sz w:val="40"/>
        </w:rPr>
        <w:t xml:space="preserve">  Petroleo Brasileiro S.A. - Petrobras</w:t>
      </w:r>
    </w:p>
    <w:p>
      <w:pPr>
        <w:spacing w:after="120"/>
      </w:pPr>
      <w:r>
        <w:rPr>
          <w:rFonts w:ascii="Calibri" w:hAnsi="Calibri"/>
          <w:b/>
          <w:color w:val="6E8450"/>
          <w:sz w:val="18"/>
        </w:rPr>
        <w:t>DIVIDEND SLEEVE · 2026-10-03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Integrated · NYQ · Brazil</w:t>
      </w:r>
    </w:p>
    <w:p>
      <w:pPr>
        <w:spacing w:after="80"/>
      </w:pPr>
      <w:r>
        <w:rPr>
          <w:rFonts w:ascii="Calibri" w:hAnsi="Calibri"/>
          <w:b w:val="0"/>
          <w:color w:val="3A4A28"/>
          <w:sz w:val="20"/>
        </w:rPr>
        <w:t>Petrobras is Brazil's state-controlled integrated oil and gas company, a global leader in deepwater and pre-salt production with refining, logistics and growing low-carbon businesses. Q2 2026 was its strongest quarter on record by recurring profit and gross profit, with revenue of $31.26B, EPS of $1.38 and record production of 2.7M barrels per day [1].</w:t>
      </w:r>
    </w:p>
    <w:p>
      <w:r>
        <w:rPr>
          <w:rFonts w:ascii="Calibri" w:hAnsi="Calibri"/>
          <w:b/>
          <w:color w:val="6E8450"/>
          <w:sz w:val="18"/>
        </w:rPr>
        <w:t>44,000 Employees · https://petrobras.com.br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Petrobras pioneered ultra-deepwater pre-salt development and has lifted production to a record 2.7M barrels per day in Q2 2026 while expanding into the Equatorial Margin and refining investment [1]. AI Deployment (2/2): ChatPetrobras serves about 110,000 workers and Azure OpenAI tools plus machine learning cut fault-interpretation time by 60% in petrophysical workflows [2]. Market Share (2/2): the dominant Brazilian producer and a leading global deepwater operator, with Q1 2026 crude export volumes up over 40% [1]. Pipeline (1/2): new FPSOs and Equatorial Margin drilling are planned but the IBAMA license for block FZA-M-059 was initially denied [3]. R&amp;D Intensity (0/1): R&amp;D spend is roughly in line with integrated oil peers, with no top-quartile evidence found.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Petrobras's stated purpose is to supply energy safely and competitively while contributing to Brazil's development, which is clear but typical of national oil companies [3]. Community Impact (1/2): social programs, targets of 25% women and 25% Black leaders by 2030 (currently 22.1% and 22.2%) and a 39% absolute GHG reduction from 2015 to 2022 show real but general corporate programs [3]. Employee Retention (1/2): 92% of Glassdoor reviewers would recommend working there and 72% approve of the CEO, but no tenure data was found [2]. Insider Buying (0/2): as a state-controlled company there is no meaningful insider buying evidence.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Scored as a Dividend stock. D/E 76.1% scores 0.97, ROE 30.3% (1.0), profit margin 24.3% (1.0), revenue growth 42.3% YoY (1.0), forward P/E 5.4 (1.0), and 5-yr revenue CAGR is estimated at ~8% (0.87) [1]. Dividend inputs are estimates because yfinance supplied none: payout ~65% (0.58), ~7 consecutive years paid after the 2015-2016 suspension (0.7, 2x), ~2 years of growth (0.2) and ~10% 5-yr dividend CAGR (1.0, 2x). Daily dollar volume of ~$407M clears the liquidity floor. Weighted score 8.35, rounded to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Petrobras has made a generational bet on pre-salt deepwater and is expanding to new frontier basins, which required patient capital. But its purpose is a national-energy mandate subject to political direction, leadership turnover is frequent, the business remains hydrocarbon-centric, and competitive framing is share- and volume-based, so Sinek would see a finite, mandate-driven player.</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supplying energy for Brazil's development is a real purpose but is set by the state shareholder and shifts with government priorities, so it has not been consistently held across political cycles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92% of employees would recommend Petrobras and culture scores 4.2/5, but reviews cite rigid hierarchy, favoritism and weak senior leadership, and CEO changes have been politically driven [2].</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Petrobras measures itself against production records and export volumes rather than describing rivals as sources of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it divested non-core assets and refocused on pre-salt after the Lava Jato crisis and now adds low-carbon businesses, but these are adaptations within hydrocarbons rather than a transformational pivot [1][3].</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sustained multibillion deepwater investment and the Equatorial Margin push despite an initial IBAMA license denial show long-term commitment, but state dividend demands and fuel-price pressure shape capital allocation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Petrobras at $21.65 (about $140B market cap) trades at 5.4x forward earnings with 30.3% ROE, a 24.3% profit margin, 42% revenue growth and low-teens-plus shareholder yield potential [1]. Q2 2026 was the strongest quarter in company history on recurring profit with EPS of $1.38 versus $1.25 expected, record production of 2.7M barrels per day, Q1 revenue +11.7% and leverage that remains low [1].</w:t>
      </w:r>
    </w:p>
    <w:p>
      <w:pPr>
        <w:spacing w:after="120"/>
      </w:pPr>
      <w:r>
        <w:rPr>
          <w:rFonts w:ascii="Calibri" w:hAnsi="Calibri"/>
          <w:b w:val="0"/>
          <w:color w:val="3A4A28"/>
          <w:sz w:val="20"/>
        </w:rPr>
        <w:t>The bear case centers on state control and commodity exposure: government influence over fuel pricing, dividends and leadership (CEO changes in 2024), plus oil-price and BRL volatility, can swing cash returns quickly [3]. Vanguard flagged limited disclosure of financially material ESG risks and progress against targets, IBAMA initially denied the Equatorial Margin license, and shares slipped after the record Q2 on the guidance outlook (EPS $2.08 for 2026, $1.92 for 2027) [1][3]. A debt-to-equity of 76% sits just above the 70% target, and the Inspire score of 0 gives no faith signal.</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production of 2.7M barrels per day and new FPSO start-ups lifting volumes and cash flow [1]</w:t>
      </w:r>
    </w:p>
    <w:p>
      <w:pPr>
        <w:spacing w:before="40" w:after="40"/>
        <w:ind w:left="283"/>
      </w:pPr>
      <w:r>
        <w:rPr>
          <w:rFonts w:ascii="Calibri" w:hAnsi="Calibri"/>
          <w:b/>
          <w:color w:val="4A6B25"/>
          <w:sz w:val="20"/>
        </w:rPr>
        <w:t xml:space="preserve">2. </w:t>
      </w:r>
      <w:r>
        <w:rPr>
          <w:rFonts w:ascii="Calibri" w:hAnsi="Calibri"/>
          <w:b w:val="0"/>
          <w:color w:val="3A4A28"/>
          <w:sz w:val="20"/>
        </w:rPr>
        <w:t>Equatorial Margin drilling licence approval opening a new frontier exploration province [3]</w:t>
      </w:r>
    </w:p>
    <w:p>
      <w:pPr>
        <w:spacing w:before="40" w:after="40"/>
        <w:ind w:left="283"/>
      </w:pPr>
      <w:r>
        <w:rPr>
          <w:rFonts w:ascii="Calibri" w:hAnsi="Calibri"/>
          <w:b/>
          <w:color w:val="4A6B25"/>
          <w:sz w:val="20"/>
        </w:rPr>
        <w:t xml:space="preserve">3. </w:t>
      </w:r>
      <w:r>
        <w:rPr>
          <w:rFonts w:ascii="Calibri" w:hAnsi="Calibri"/>
          <w:b w:val="0"/>
          <w:color w:val="3A4A28"/>
          <w:sz w:val="20"/>
        </w:rPr>
        <w:t>Continued high refining margins and crude export growth (+40% foreign sales in Q1 2026) supporting dividends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Political and state-control risk affecting fuel pricing, dividend policy and management turnover [3]</w:t>
      </w:r>
    </w:p>
    <w:p>
      <w:pPr>
        <w:spacing w:before="40" w:after="40"/>
        <w:ind w:left="283"/>
      </w:pPr>
      <w:r>
        <w:rPr>
          <w:rFonts w:ascii="Calibri" w:hAnsi="Calibri"/>
          <w:b/>
          <w:color w:val="4A6B25"/>
          <w:sz w:val="20"/>
        </w:rPr>
        <w:t xml:space="preserve">2. </w:t>
      </w:r>
      <w:r>
        <w:rPr>
          <w:rFonts w:ascii="Calibri" w:hAnsi="Calibri"/>
          <w:b w:val="0"/>
          <w:color w:val="3A4A28"/>
          <w:sz w:val="20"/>
        </w:rPr>
        <w:t>Oil-price and BRL volatility: forward EPS is guided to decline from $2.08 (2026) to $1.92 (2027) [1]</w:t>
      </w:r>
    </w:p>
    <w:p>
      <w:pPr>
        <w:spacing w:before="40" w:after="40"/>
        <w:ind w:left="283"/>
      </w:pPr>
      <w:r>
        <w:rPr>
          <w:rFonts w:ascii="Calibri" w:hAnsi="Calibri"/>
          <w:b/>
          <w:color w:val="4A6B25"/>
          <w:sz w:val="20"/>
        </w:rPr>
        <w:t xml:space="preserve">3. </w:t>
      </w:r>
      <w:r>
        <w:rPr>
          <w:rFonts w:ascii="Calibri" w:hAnsi="Calibri"/>
          <w:b w:val="0"/>
          <w:color w:val="3A4A28"/>
          <w:sz w:val="20"/>
        </w:rPr>
        <w:t>Environmental permitting and ESG disclosure scrutiny, including the IBAMA Equatorial Margin license denial and Vanguard disclosure concerns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Petrobras's business is physical exploration, deepwater production and refining of a commodity, which AI cannot substitute, and AI is used as an efficiency tool in subsurface interpretation and employee productivity (ChatPetrobras for 110,000 users) [2]. Industry sources view AI as opportunity with manageable risk centered on data quality and cyber exposure. AI Opportunity (0/1): no AI-derived revenue is reported; AI contributes cost savings only.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Petrobras Q1 and Q2 2026 results, TipRanks, Investing.com transcripts and SEC 6-K filings, 2026</w:t>
      </w:r>
    </w:p>
    <w:p>
      <w:pPr>
        <w:spacing w:before="20" w:after="20"/>
        <w:ind w:left="170"/>
      </w:pPr>
      <w:r>
        <w:rPr>
          <w:rFonts w:ascii="Calibri" w:hAnsi="Calibri"/>
          <w:b/>
          <w:color w:val="4A6B25"/>
          <w:sz w:val="15"/>
        </w:rPr>
        <w:t xml:space="preserve">2. </w:t>
      </w:r>
      <w:r>
        <w:rPr>
          <w:rFonts w:ascii="Calibri" w:hAnsi="Calibri"/>
          <w:b w:val="0"/>
          <w:color w:val="3A4A28"/>
          <w:sz w:val="17"/>
        </w:rPr>
        <w:t>Petrobras AI and digital transformation: Microsoft customer story, ABES, AIX case study; Glassdoor reviews of Petrobras, 2024-2026</w:t>
      </w:r>
    </w:p>
    <w:p>
      <w:pPr>
        <w:spacing w:before="20" w:after="20"/>
        <w:ind w:left="170"/>
      </w:pPr>
      <w:r>
        <w:rPr>
          <w:rFonts w:ascii="Calibri" w:hAnsi="Calibri"/>
          <w:b/>
          <w:color w:val="4A6B25"/>
          <w:sz w:val="15"/>
        </w:rPr>
        <w:t xml:space="preserve">3. </w:t>
      </w:r>
      <w:r>
        <w:rPr>
          <w:rFonts w:ascii="Calibri" w:hAnsi="Calibri"/>
          <w:b w:val="0"/>
          <w:color w:val="3A4A28"/>
          <w:sz w:val="17"/>
        </w:rPr>
        <w:t>Petrobras ESG controversies and sustainability disclosures, investidorpetrobras.com.br, Vanguard TCFD report,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PBR key statistics,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