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PB</w:t>
      </w:r>
      <w:r>
        <w:rPr>
          <w:rFonts w:ascii="Calibri" w:hAnsi="Calibri"/>
          <w:b/>
          <w:color w:val="1A2010"/>
          <w:sz w:val="40"/>
        </w:rPr>
        <w:t xml:space="preserve">  Prosperity Bancshares, Inc.</w:t>
      </w:r>
    </w:p>
    <w:p>
      <w:pPr>
        <w:spacing w:after="120"/>
      </w:pPr>
      <w:r>
        <w:rPr>
          <w:rFonts w:ascii="Calibri" w:hAnsi="Calibri"/>
          <w:b/>
          <w:color w:val="6E8450"/>
          <w:sz w:val="18"/>
        </w:rPr>
        <w:t>DIVIDEND SLEEVE · 2026-09-26 · Inspire: 18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United States</w:t>
      </w:r>
    </w:p>
    <w:p>
      <w:pPr>
        <w:spacing w:after="80"/>
      </w:pPr>
      <w:r>
        <w:rPr>
          <w:rFonts w:ascii="Calibri" w:hAnsi="Calibri"/>
          <w:b w:val="0"/>
          <w:color w:val="3A4A28"/>
          <w:sz w:val="20"/>
        </w:rPr>
        <w:t>Prosperity Bancshares is a Houston, Texas-based bank holding company for Prosperity Bank, offering deposit accounts, commercial and consumer lending, digital/mobile banking, trust and wealth management, and treasury services across Texas and Oklahoma. The bank has grown substantially through serial in-market acquisitions, completing mergers with American Bank Holding Corporation (January 2026), Southwest Bancshares (February 2026), and Stellar Bancorp (July 2026), materially expanding its scale and Texas footprint [1]. Net income rose 13.2% to $543M in 2025, with Q2 2026 net income up 20.4% year-over-year to $168.6M [1].</w:t>
      </w:r>
    </w:p>
    <w:p>
      <w:r>
        <w:rPr>
          <w:rFonts w:ascii="Calibri" w:hAnsi="Calibri"/>
          <w:b/>
          <w:color w:val="6E8450"/>
          <w:sz w:val="18"/>
        </w:rPr>
        <w:t>4,324 Employees · https://www.prosperitybankusa.com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Prosperity has executed three successful bank mergers in an 18-month span (American Bank Holding, Southwest Bancshares, Stellar Bancorp), materially expanding scale and opening new Texas/Oklahoma markets, but this is disciplined roll-up consolidation rather than a product or business-model transformation [1]. AI Deployment (0/2): No evidence was found of AI-powered products shipping to customers or quantified AI-driven cost savings; digital and mobile banking are described only in generic terms. Market Share (1/2): Prosperity is a meaningful regional player strengthened by the Stellar Bancorp merger, but no data quantifying dominant or fastest-growing share versus larger Texas banks (JPMorgan, Comerica, Cullen/Frost) was found [2]. Product Pipeline (0/2): No next-generation products or named launch timelines were identified. R&amp;D Intensity (0/1): Banks do not disclose R&amp;D spend, and no comparable technology investment intensity data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Prosperity's stated values — soundness, profitability, service, professionalism, integrity, and citizenship — are clear but largely interchangeable with peer community banks' boilerplate, and newly built banking centers use energy-efficient construction, though this reflects operational practice more than a distinctive purpose [3]. Community Impact (0/2): No specific charitable programs, foundation activity, or dollar-denominated community investment was found in research. Employee Retention (0/2): No employee tenure or turnover data was located. Insider Buying (0/2): No evidence of net insider buying was found; CEO David Zalman's 25-year tenure and a 2025 employment agreement with President Kevin Hanigan suggest leadership stability but not documented conviction buying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unavailable for this bank and excluded from the calculation). Prosperity clears most targets: Forward P/E of 9.24x is well below the 20x target, profit margin of 40.4% and revenue growth YoY of 25.9% (inflated by 2026 merger activity) both exceed targets, and payout ratio of 41.3% is near the 40% target [4]. ROE of 7.07% is well below the 15% target, reflecting dilution from recent all-stock mergers, and 5-year revenue CAGR of ~2.6% is modest. The dividend profile is a strength: an estimated 20-year unbroken payment history and ~13 consecutive years of increases (2012 dividend of $0.80 grown to $2.34 by 2025, a 5-year CAGR of ~4.1%) both clear targets. Average daily volume of 1.16M shares against a $67.77 price (~$78.7M/day) is far above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Prosperity is a conservatively-run community bank whose consolidation strategy and underwriting discipline have kept it out of major credit crises, giving its stated values some real behavioral backing, but there is little public evidence of a Sinek-style Just Cause, courageous long-horizon bets, or a distinctive competitive philosophy — it reads as a well-run finite-game roll-up rather than an infinite-game outlier.</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bank's stated commitment to conservative credit underwriting and community banking has been genuinely lived through multiple economic cycles, reportedly helping it avoid the severe credit losses many peers suffered in 2008-2009, and leadership continuity under CEO David Zalman since 2001 has kept this discipline consistent [2][3]. However, the mission statement itself is generic bank language, and no evidence was found of it being explicitly invoked in specific 2025-2026 strategic decisions beyond routine M&amp;A.</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Leadership stability is notable — CEO David Zalman since 2001 and a 2025 employment agreement securing President/COO Kevin Hanigan's role — suggesting an adequately stable organization, but no employee tenure, turnover, or psychological-safety data was found to support a high-trust designation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management framing competition in terms of learning from rivals' strengths, nor evidence of a 'beat the competitor' finite mindset; the topic was simply absent from available research.</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Prosperity has expanded its footprint materially through three mergers in 18 months and added digital/mobile banking channels, showing incremental adaptation to industry consolidation and changing customer channel preferences, but the underlying community-banking business model itself remains unchanged rather than reinvented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bank's conservative underwriting discipline through multiple credit cycles has at times meant forgoing loan growth that riskier competitors pursued, a form of sacrificing near-term earnings for long-term balance-sheet safety, though no specific 2025-2026 example of a costly principled decision was identified in research.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Prosperity Bancshares is executing a disciplined Texas/Oklahoma bank consolidation strategy, closing three mergers in 18 months (American Bank Holding, Southwest Bancshares, Stellar Bancorp) that drove Q2 2026 net income up 20.4% YoY to $168.6M and full-year 2025 net income up 13.2% to $543M [1]. Trading at a 9.24x forward P/E — well below the 20x target and cheap relative to bank peers — with a 41.3% payout ratio near the 40% target and an estimated 20-year unbroken dividend history growing at a ~4.1% 5-year CAGR, the stock offers reasonable income and valuation support [4]. Conservative underwriting has historically limited credit losses through prior cycles, a durable if unglamorous competitive advantage.</w:t>
      </w:r>
    </w:p>
    <w:p>
      <w:pPr>
        <w:spacing w:after="120"/>
      </w:pPr>
      <w:r>
        <w:rPr>
          <w:rFonts w:ascii="Calibri" w:hAnsi="Calibri"/>
          <w:b w:val="0"/>
          <w:color w:val="3A4A28"/>
          <w:sz w:val="20"/>
        </w:rPr>
        <w:t>The bear case centers on thin organic profitability and integration risk: ROE of just 7.07% is roughly half the 15% target, reflecting equity dilution from all-stock mergers that has not yet been offset by realized cost synergies, and the 25.9% revenue growth figure is almost entirely acquisition-driven rather than organic [4]. Three overlapping mergers closing within 18 months (most recently Stellar Bancorp in July 2026) create meaningful integration execution risk, including systems conversion, credit mark accuracy on acquired loan books, and retention of acquired customer relationships. Innovation and Inspiration scores are weak because no AI deployment, quantified community investment, or insider buying evidence was found in research, leaving the qualitative 'excellence' case thin relative to the bank's financial conservatism. A regional Texas/Oklahoma concentration also leaves earnings exposed to energy-sector and regional real estate cyclicality.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Realization of cost synergies from the Stellar Bancorp, Southwest Bancshares, and American Bank Holding mergers as systems integration completes through 2026-2027, which could lift ROE toward the 15% target [1]</w:t>
      </w:r>
    </w:p>
    <w:p>
      <w:pPr>
        <w:spacing w:before="40" w:after="40"/>
        <w:ind w:left="283"/>
      </w:pPr>
      <w:r>
        <w:rPr>
          <w:rFonts w:ascii="Calibri" w:hAnsi="Calibri"/>
          <w:b/>
          <w:color w:val="4A6B25"/>
          <w:sz w:val="20"/>
        </w:rPr>
        <w:t xml:space="preserve">2. </w:t>
      </w:r>
      <w:r>
        <w:rPr>
          <w:rFonts w:ascii="Calibri" w:hAnsi="Calibri"/>
          <w:b w:val="0"/>
          <w:color w:val="3A4A28"/>
          <w:sz w:val="20"/>
        </w:rPr>
        <w:t>Continued net interest margin expansion if the Fed rate path stabilizes, benefiting a conservatively-funded balance sheet with a low-cost core deposit base</w:t>
      </w:r>
    </w:p>
    <w:p>
      <w:pPr>
        <w:spacing w:before="40" w:after="40"/>
        <w:ind w:left="283"/>
      </w:pPr>
      <w:r>
        <w:rPr>
          <w:rFonts w:ascii="Calibri" w:hAnsi="Calibri"/>
          <w:b/>
          <w:color w:val="4A6B25"/>
          <w:sz w:val="20"/>
        </w:rPr>
        <w:t xml:space="preserve">3. </w:t>
      </w:r>
      <w:r>
        <w:rPr>
          <w:rFonts w:ascii="Calibri" w:hAnsi="Calibri"/>
          <w:b w:val="0"/>
          <w:color w:val="3A4A28"/>
          <w:sz w:val="20"/>
        </w:rPr>
        <w:t>Further in-market Texas/Oklahoma bank acquisitions extending the multi-decade consolidation playbook that has driven long-term book value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Integration execution risk across three simultaneous mergers closing within an 18-month window, including credit mark accuracy on acquired loan books and core systems conversion disruption [1]</w:t>
      </w:r>
    </w:p>
    <w:p>
      <w:pPr>
        <w:spacing w:before="40" w:after="40"/>
        <w:ind w:left="283"/>
      </w:pPr>
      <w:r>
        <w:rPr>
          <w:rFonts w:ascii="Calibri" w:hAnsi="Calibri"/>
          <w:b/>
          <w:color w:val="4A6B25"/>
          <w:sz w:val="20"/>
        </w:rPr>
        <w:t xml:space="preserve">2. </w:t>
      </w:r>
      <w:r>
        <w:rPr>
          <w:rFonts w:ascii="Calibri" w:hAnsi="Calibri"/>
          <w:b w:val="0"/>
          <w:color w:val="3A4A28"/>
          <w:sz w:val="20"/>
        </w:rPr>
        <w:t>ROE of 7.07%, roughly half the 15% target, signals that acquisition-driven share issuance has diluted returns on equity faster than earnings have grown to offset it [4]</w:t>
      </w:r>
    </w:p>
    <w:p>
      <w:pPr>
        <w:spacing w:before="40" w:after="40"/>
        <w:ind w:left="283"/>
      </w:pPr>
      <w:r>
        <w:rPr>
          <w:rFonts w:ascii="Calibri" w:hAnsi="Calibri"/>
          <w:b/>
          <w:color w:val="4A6B25"/>
          <w:sz w:val="20"/>
        </w:rPr>
        <w:t xml:space="preserve">3. </w:t>
      </w:r>
      <w:r>
        <w:rPr>
          <w:rFonts w:ascii="Calibri" w:hAnsi="Calibri"/>
          <w:b w:val="0"/>
          <w:color w:val="3A4A28"/>
          <w:sz w:val="20"/>
        </w:rPr>
        <w:t>Regional concentration in Texas and Oklahoma ties earnings to energy-sector health and regional commercial real estate, both of which carry above-average cyclicality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Core deposit-taking and commercial/consumer lending are protected by regulatory licensing requirements, FDIC-insured deposit relationships, and local relationship banking switching costs that AI tools cannot directly replicate, but retail and small-business lending origination face gradual disintermediation risk from AI-driven fintech underwriting and digital-only banks, and no analyst commentary specifically addressing PB's AI exposure was found [2]. AI Opportunity (0/1): No quantified AI-related revenue or cost savings were disclosed; digital/mobile/internet banking are offered but without AI-specific monetization data.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18</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Prosperity Bancshares Q1 2026 and Q2 2026 Earnings Releases — Net Income, Merger Completions — PR Newswire, Nasdaq, April-July 2026</w:t>
      </w:r>
    </w:p>
    <w:p>
      <w:pPr>
        <w:spacing w:before="20" w:after="20"/>
        <w:ind w:left="170"/>
      </w:pPr>
      <w:r>
        <w:rPr>
          <w:rFonts w:ascii="Calibri" w:hAnsi="Calibri"/>
          <w:b/>
          <w:color w:val="4A6B25"/>
          <w:sz w:val="15"/>
        </w:rPr>
        <w:t xml:space="preserve">2. </w:t>
      </w:r>
      <w:r>
        <w:rPr>
          <w:rFonts w:ascii="Calibri" w:hAnsi="Calibri"/>
          <w:b w:val="0"/>
          <w:color w:val="3A4A28"/>
          <w:sz w:val="17"/>
        </w:rPr>
        <w:t>Prosperity Bancshares Leadership and Executive Team Profiles — Craft.co, Simply Wall St, TipRanks, 2025-2026</w:t>
      </w:r>
    </w:p>
    <w:p>
      <w:pPr>
        <w:spacing w:before="20" w:after="20"/>
        <w:ind w:left="170"/>
      </w:pPr>
      <w:r>
        <w:rPr>
          <w:rFonts w:ascii="Calibri" w:hAnsi="Calibri"/>
          <w:b/>
          <w:color w:val="4A6B25"/>
          <w:sz w:val="15"/>
        </w:rPr>
        <w:t xml:space="preserve">3. </w:t>
      </w:r>
      <w:r>
        <w:rPr>
          <w:rFonts w:ascii="Calibri" w:hAnsi="Calibri"/>
          <w:b w:val="0"/>
          <w:color w:val="3A4A28"/>
          <w:sz w:val="17"/>
        </w:rPr>
        <w:t>Prosperity Bancshares ESG and Community Banking Practices — MarketScreener, Censible ESG Profile,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PB key statistics: Forward P/E 9.24x, ROE 7.07%, Profit Margin 40.4%, Dividend Yield 3.54%,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