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PCAR</w:t>
      </w:r>
      <w:r>
        <w:rPr>
          <w:rFonts w:ascii="Calibri" w:hAnsi="Calibri"/>
          <w:b/>
          <w:color w:val="1A2010"/>
          <w:sz w:val="40"/>
        </w:rPr>
        <w:t xml:space="preserve">  PACCAR Inc</w:t>
      </w:r>
    </w:p>
    <w:p>
      <w:pPr>
        <w:spacing w:after="120"/>
      </w:pPr>
      <w:r>
        <w:rPr>
          <w:rFonts w:ascii="Calibri" w:hAnsi="Calibri"/>
          <w:b/>
          <w:color w:val="6E8450"/>
          <w:sz w:val="18"/>
        </w:rPr>
        <w:t>DIVIDEND SLEEVE · 2026-08-29 · Inspire: 56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Farm &amp; Heavy Construction Machinery · NASDAQ · United States</w:t>
      </w:r>
    </w:p>
    <w:p>
      <w:pPr>
        <w:spacing w:after="80"/>
      </w:pPr>
      <w:r>
        <w:rPr>
          <w:rFonts w:ascii="Calibri" w:hAnsi="Calibri"/>
          <w:b w:val="0"/>
          <w:color w:val="3A4A28"/>
          <w:sz w:val="20"/>
        </w:rPr>
        <w:t>PACCAR Inc designs and manufactures premium heavy-duty trucks under the Kenworth, Peterbilt, and DAF nameplates. The company also provides financial services, information technology, and distributes truck parts globally through its PACCAR Parts segment. Founded in 1905 and headquartered in Bellevue, Washington, PACCAR is one of the top three global heavy truck OEMs with operations across the United States, Europe, Australia, and South America.</w:t>
      </w:r>
    </w:p>
    <w:p>
      <w:r>
        <w:rPr>
          <w:rFonts w:ascii="Calibri" w:hAnsi="Calibri"/>
          <w:b/>
          <w:color w:val="6E8450"/>
          <w:sz w:val="18"/>
        </w:rPr>
        <w:t>32,000 Employees · https://www.paccar.com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PACCAR launched multiple electric vehicle models in 2025-2026 including DAF XG and XG+ electric trucks (International Truck of the Year 2026), new Kenworth and Peterbilt medium-duty EV regional delivery models, and the Kenworth C 580 heavy-duty vocational truck [1][2]. These represent meaningful entry into zero-emission powertrains but are extensions of existing truck platforms rather than a transformative business model pivot. AI Deployment (0/2): Employee reviews indicate PACCAR has an AI initiative to increase productivity but it lacks a proper plan, security framework, and general understanding [6]. No quantified AI-powered products or measurable cost savings have been reported. Market Share (2/2): PACCAR commands approximately 32% North American Class 8 market share with Kenworth and Peterbilt brands, while DAF leads in European heavy-duty segments with projected 280,000-320,000 above-16-ton registrations in 2026 [1][3]. Product Pipeline (1/2): Management referenced autonomous vehicle platforms, connected vehicle services, and next-generation powertrains (diesel, electric, hydrogen fuel cell) as R&amp;D priorities, but specific launch dates and revenue targets remain vague [3]. R&amp;D Intensity (0/1): R&amp;D spending of approximately $450-500M against ~$28B TTM revenue represents roughly 1.7% of revenue, below peers Volvo Group (~3.5%) and Daimler Truck (~3%)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PACCAR's mission is 'to be the most successful and respected global commercial vehicle company, providing the best products and services to our customers, creating long-term value for our stakeholders, and contributing to a better society' [4]. Identifies the company's purpose but does not articulate a deeper cause beyond standard corporate language — 'most successful and respected' centers on the company's own status. Community Impact (0/2): No specific charitable foundation programs, community investment initiatives, or philanthropic dollar amounts identified despite PACCAR's 121-year history. ESG reporting focuses on environmental targets (SBTi-approved emissions reductions, CDP ratings) rather than community investment [4][7]. Employee Retention (0/2): No specific employee tenure or voluntary turnover data publicly available. CEO Feight conducted layoffs in February 2025 despite touting 2024 as a record year, with employees reporting the cuts came with 'no clear answers or direction as to why' [6]. Culture described as 'extremely conservative' and resistant to change. Insider Buying (0/2): CEO Feight sold 50,975 shares ($6.8M) in an exercise-and-sell transaction on July 31, 2026 at $133.07/share; VP Bolgar sold $388K in August 2026 [5]. Consistent net insider selling with no meaningful insider buying across multiple quarters.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Q2 2026 data showing improving fundamentals. D/E of 73% sits just above the 70% target, reflecting a conservatively leveraged balance sheet [3]. ROE of 12.76% is slightly below the 15% target, compressed by the cyclical trough following the 2023 peak revenue year of $35.1B. Profit margin of 9.0% reflects the capital-intensive truck manufacturing model, with Q2 gross margin improving to 14.4% from 13.1% sequentially [1]. Q2 2026 revenue of $7.55B beat estimates of $7.08B with deliveries of 38,700 units (+17% QoQ), though TTM revenue growth remains negative at approximately -6% as the industry recovers from the 2025 downturn [1]. Forward P/E of 19.83 scores at target, and PEG of 0.97 suggests fair valuation for expected cyclical recovery [3]. Dividend profile is strong: 85 consecutive years of payments (since 1941), 6 consecutive years of regular dividend growth, payout ratio of 58.2%, and 8.6% five-year dividend growth CAGR [3]. Liquidity floor cleared: ~3.5M avg daily volume x $132.06 = ~$462M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PACCAR's 121-year operating history demonstrates durability, but Sinek's framework demands more than longevity. The company lacks a compelling Just Cause beyond commercial success, operates a conservative culture that employees describe as resistant to change and innovation, and frames competition in market-share terms rather than self-improvement. Investments in EV and autonomous platforms show incremental flexibility but not transformative reinvention. The February 2025 layoffs after a record year exemplify finite-game thinking — optimizing this quarter rather than building for the next decade [5][6].</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PACCAR's mission to be 'the most successful and respected global commercial vehicle company' centers on commercial success metrics — classic finite game language [4]. The 'contributing to a better society' addendum reads as an afterthought rather than a driving purpose. Leadership discusses market share, margin improvement, and production volumes in earnings calls rather than referencing purpose [1][3]. While the 121-year history demonstrates endurance, the mission is interchangeable with any peer manufacturer and does not describe a future state worth sacrificing to advance.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PACCAR's 121-year history provides institutional stability, and CEO Feight has provided consistent leadership since 2019. However, employees describe a conservative culture that stifles innovation — 'problem-solving, strategic thinking, and driving meaningful change are not leadership priorities' [6]. The culture is described as 'extremely conservative in dress, hours, financials, and how to get things done' [6]. February 2025 layoffs despite a record 2024 further undermine trust. Adequate stability without exceptional trust indicators.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PACCAR's competitive language centers on market share dominance and product awards (International Truck of the Year) rather than learning from rivals' strengths [1]. Management commentary does not reference competitive pressure as motivation for self-improvement. Employees note the company is 'happy to remain far at the back of the pack' technologically, prioritizing profitability over competitive improvement [6]. The framing is about winning market share rather than getting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PACCAR has evolved incrementally over its history — expanding from North American trucks to global operations through DAF acquisition (1996), building a high-margin parts distribution network ($1.75B record Q2 revenue), and investing in EV and hydrogen powertrains [1]. The transition to zero-emission powertrains is significant but follows industry regulatory requirements (2027 emissions standards) and competitive necessity rather than a proactive strategic vision driven by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PACCAR continues investing in capital expenditures and R&amp;D for next-generation powertrains, autonomous platforms, and flexible manufacturing during a cyclical downturn — demonstrated by sustained spending while revenues declined from $35.1B to ~$28B [1][8]. The DAF XG/XG+ electric launch ahead of regulatory mandates shows proactive commitment. However, the February 2025 layoffs after a record year and R&amp;D intensity of 1.7% (roughly half of peers) suggest management ultimately prioritizes near-term profitability over long-term capability building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PACCAR is a premium truck OEM with dominant North American Class 8 market share, an 85-year unbroken dividend track record, and a high-margin parts distribution business that hit record Q2 revenue of $1.75B at 29.8% gross margins [1]. Q2 2026 showed meaningful cyclical recovery with $7.55B revenue (beating $7.08B estimates), $1.43 EPS (beating $1.35), deliveries of 38,700 units (+17% QoQ), and gross margin expansion to 14.4% from 13.1% [1]. Build slots are full through Q2 with majority fullness in Q3/Q4, and 2027 EPA emissions standards are expected to trigger a prebuy cycle that could lift production volumes through 2027 [2]. Forward P/E of 19.83 with a PEG of 0.97 suggests fair valuation for the cyclical recovery thesis, while the 2.17% yield and conservative D/E of 73% provide downside protection [3].</w:t>
      </w:r>
    </w:p>
    <w:p>
      <w:pPr>
        <w:spacing w:after="120"/>
      </w:pPr>
      <w:r>
        <w:rPr>
          <w:rFonts w:ascii="Calibri" w:hAnsi="Calibri"/>
          <w:b w:val="0"/>
          <w:color w:val="3A4A28"/>
          <w:sz w:val="20"/>
        </w:rPr>
        <w:t>The primary risk is the deeply cyclical nature of the truck market — TTM revenue of ~$28B is 21% below the 2023 peak of $35.1B, and any delay in the Class 8 recovery or tariff-induced demand disruption could extend the trough [3][8]. PACCAR's net profit margin of 9% is inherently constrained by capital-intensive manufacturing, leaving limited margin of safety during downturns. R&amp;D intensity of ~1.7% of revenue — roughly half that of Volvo Group and Daimler Truck — raises questions about long-term competitiveness in the transition to EV and autonomous trucking [2]. Net insider selling of $7.2M by CEO Feight and other executives in July-August 2026 signals limited leadership conviction despite the cyclical recovery thesis [5]. The stock's trailing P/E of 27.58 is elevated for a trough-year cyclical, pricing in a recovery that must materialize for the multiple to 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Class 8 cyclical recovery with Q2 2026 deliveries of 38,700 units (+17% QoQ) and build slots filling through H2 2026, supported by projected U.S./Canada Class 8 market of 230,000-270,000 units [1][2]</w:t>
      </w:r>
    </w:p>
    <w:p>
      <w:pPr>
        <w:spacing w:before="40" w:after="40"/>
        <w:ind w:left="283"/>
      </w:pPr>
      <w:r>
        <w:rPr>
          <w:rFonts w:ascii="Calibri" w:hAnsi="Calibri"/>
          <w:b/>
          <w:color w:val="4A6B25"/>
          <w:sz w:val="20"/>
        </w:rPr>
        <w:t xml:space="preserve">2. </w:t>
      </w:r>
      <w:r>
        <w:rPr>
          <w:rFonts w:ascii="Calibri" w:hAnsi="Calibri"/>
          <w:b w:val="0"/>
          <w:color w:val="3A4A28"/>
          <w:sz w:val="20"/>
        </w:rPr>
        <w:t>2027 EPA emissions standard prebuy cycle expected to drive elevated truck orders and production volumes beginning in late 2026, potentially lifting revenues toward prior cyclical peaks</w:t>
      </w:r>
    </w:p>
    <w:p>
      <w:pPr>
        <w:spacing w:before="40" w:after="40"/>
        <w:ind w:left="283"/>
      </w:pPr>
      <w:r>
        <w:rPr>
          <w:rFonts w:ascii="Calibri" w:hAnsi="Calibri"/>
          <w:b/>
          <w:color w:val="4A6B25"/>
          <w:sz w:val="20"/>
        </w:rPr>
        <w:t xml:space="preserve">3. </w:t>
      </w:r>
      <w:r>
        <w:rPr>
          <w:rFonts w:ascii="Calibri" w:hAnsi="Calibri"/>
          <w:b w:val="0"/>
          <w:color w:val="3A4A28"/>
          <w:sz w:val="20"/>
        </w:rPr>
        <w:t>PACCAR Parts record Q2 revenue of $1.75B with 29.8% gross margins and 8% Fleet Services growth, providing high-margin counter-cyclical earnings stability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freight recession or tariff-induced supply chain disruption could further depress Class 8 demand below the guided 230,000-270,000 U.S./Canada units, extending the cyclical trough beyond 2026</w:t>
      </w:r>
    </w:p>
    <w:p>
      <w:pPr>
        <w:spacing w:before="40" w:after="40"/>
        <w:ind w:left="283"/>
      </w:pPr>
      <w:r>
        <w:rPr>
          <w:rFonts w:ascii="Calibri" w:hAnsi="Calibri"/>
          <w:b/>
          <w:color w:val="4A6B25"/>
          <w:sz w:val="20"/>
        </w:rPr>
        <w:t xml:space="preserve">2. </w:t>
      </w:r>
      <w:r>
        <w:rPr>
          <w:rFonts w:ascii="Calibri" w:hAnsi="Calibri"/>
          <w:b w:val="0"/>
          <w:color w:val="3A4A28"/>
          <w:sz w:val="20"/>
        </w:rPr>
        <w:t>R&amp;D intensity at ~1.7% of revenue — roughly half that of Volvo Group and Daimler Truck — risks falling behind on autonomous driving, battery-electric, and hydrogen fuel cell technology development [2]</w:t>
      </w:r>
    </w:p>
    <w:p>
      <w:pPr>
        <w:spacing w:before="40" w:after="40"/>
        <w:ind w:left="283"/>
      </w:pPr>
      <w:r>
        <w:rPr>
          <w:rFonts w:ascii="Calibri" w:hAnsi="Calibri"/>
          <w:b/>
          <w:color w:val="4A6B25"/>
          <w:sz w:val="20"/>
        </w:rPr>
        <w:t xml:space="preserve">3. </w:t>
      </w:r>
      <w:r>
        <w:rPr>
          <w:rFonts w:ascii="Calibri" w:hAnsi="Calibri"/>
          <w:b w:val="0"/>
          <w:color w:val="3A4A28"/>
          <w:sz w:val="20"/>
        </w:rPr>
        <w:t>Net insider selling of $7.2M (CEO Feight $6.8M exercise-and-sell, VP Bolgar $388K) in July-August 2026 contrasts with the cyclical recovery narrative and suggests leadership uncertainty about near-term upside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PACCAR's core business — designing, manufacturing, and servicing heavy-duty commercial trucks — is fundamentally immune to AI displacement. The business requires massive physical manufacturing capabilities, global supply chains, dealer/service networks, and regulatory compliance (emissions, safety certifications) that AI cannot substitute [1]. Truck demand is structurally tied to freight volumes and fleet replacement cycles. AI-driven automation in logistics actually increases demand for trucking infrastructure by expanding e-commerce fulfillment. Autonomous trucking development would increase truck utilization rates and accelerate fleet turnover, directly benefiting OEMs like PACCAR [3]. No analysts have flagged AI as a substitution risk. AI Opportunity (0/1): While PACCAR references autonomous vehicle platforms and connected vehicle services in its R&amp;D agenda, no quantifiable AI-related revenue has been reported. Employee reviews confirm AI initiatives lack strategic maturity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PACCAR Q2 2026 Earnings Release — PACCAR/DAF Trucks, July 28, 2026</w:t>
      </w:r>
    </w:p>
    <w:p>
      <w:pPr>
        <w:spacing w:before="20" w:after="20"/>
        <w:ind w:left="170"/>
      </w:pPr>
      <w:r>
        <w:rPr>
          <w:rFonts w:ascii="Calibri" w:hAnsi="Calibri"/>
          <w:b/>
          <w:color w:val="4A6B25"/>
          <w:sz w:val="15"/>
        </w:rPr>
        <w:t xml:space="preserve">2. </w:t>
      </w:r>
      <w:r>
        <w:rPr>
          <w:rFonts w:ascii="Calibri" w:hAnsi="Calibri"/>
          <w:b w:val="0"/>
          <w:color w:val="3A4A28"/>
          <w:sz w:val="17"/>
        </w:rPr>
        <w:t>PACCAR Q1 2026 Earnings Call and Class 8 Order Trends — Fleet Owner/Motley Fool, April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 PCAR Statistics, Valuation, and Financial Ratios,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PACCAR Inc. Corporate Website — Mission Statement and Company Overview,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PACCAR Insider Trading — SEC Form 4 Filings (CEO Feight $6.8M sale July 31, VP Bolgar August 2026)</w:t>
      </w:r>
    </w:p>
    <w:p>
      <w:pPr>
        <w:spacing w:before="20" w:after="20"/>
        <w:ind w:left="170"/>
      </w:pPr>
      <w:r>
        <w:rPr>
          <w:rFonts w:ascii="Calibri" w:hAnsi="Calibri"/>
          <w:b/>
          <w:color w:val="4A6B25"/>
          <w:sz w:val="15"/>
        </w:rPr>
        <w:t xml:space="preserve">6. </w:t>
      </w:r>
      <w:r>
        <w:rPr>
          <w:rFonts w:ascii="Calibri" w:hAnsi="Calibri"/>
          <w:b w:val="0"/>
          <w:color w:val="3A4A28"/>
          <w:sz w:val="17"/>
        </w:rPr>
        <w:t>Glassdoor Employee Reviews — PACCAR (1,022 reviews),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PACCAR IFRS-SASB-ESG Combined Report 2025 — PACCAR Investor Relations, April 2025</w:t>
      </w:r>
    </w:p>
    <w:p>
      <w:pPr>
        <w:spacing w:before="20" w:after="20"/>
        <w:ind w:left="170"/>
      </w:pPr>
      <w:r>
        <w:rPr>
          <w:rFonts w:ascii="Calibri" w:hAnsi="Calibri"/>
          <w:b/>
          <w:color w:val="4A6B25"/>
          <w:sz w:val="15"/>
        </w:rPr>
        <w:t xml:space="preserve">8. </w:t>
      </w:r>
      <w:r>
        <w:rPr>
          <w:rFonts w:ascii="Calibri" w:hAnsi="Calibri"/>
          <w:b w:val="0"/>
          <w:color w:val="3A4A28"/>
          <w:sz w:val="17"/>
        </w:rPr>
        <w:t>PACCAR Revenue History and Annual Reports — MacroTrends/SEC Filings, 2021-2025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