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PDI</w:t>
      </w:r>
      <w:r>
        <w:rPr>
          <w:rFonts w:ascii="Calibri" w:hAnsi="Calibri"/>
          <w:b/>
          <w:color w:val="1A2010"/>
          <w:sz w:val="40"/>
        </w:rPr>
        <w:t xml:space="preserve">  PIMCO Dynamic Income Fund</w:t>
      </w:r>
    </w:p>
    <w:p>
      <w:pPr>
        <w:spacing w:after="120"/>
      </w:pPr>
      <w:r>
        <w:rPr>
          <w:rFonts w:ascii="Calibri" w:hAnsi="Calibri"/>
          <w:b/>
          <w:color w:val="6E8450"/>
          <w:sz w:val="18"/>
        </w:rPr>
        <w:t>DIVIDEND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Debt · NYSE · United States</w:t>
      </w:r>
    </w:p>
    <w:p>
      <w:pPr>
        <w:spacing w:after="80"/>
      </w:pPr>
      <w:r>
        <w:rPr>
          <w:rFonts w:ascii="Calibri" w:hAnsi="Calibri"/>
          <w:b w:val="0"/>
          <w:color w:val="3A4A28"/>
          <w:sz w:val="20"/>
        </w:rPr>
        <w:t>PIMCO Dynamic Income Fund (PDI) is a closed-end fixed income fund launched in 2012 and managed by Pacific Investment Management Company LLC (PIMCO). The fund employs a dynamic asset allocation strategy across global fixed income markets including non-agency residential and commercial mortgage-backed securities, investment-grade and high-yield corporate bonds, emerging markets debt, sovereign bonds, and other fixed-rate income-producing securities. PDI employs significant leverage (~40-50%) to enhance yield and pays monthly distributions. The annual distribution is approximately $2.65 per share, producing a ~16.4% yield at current prices. Distribution coverage ratio of 75.73% indicates partial reliance on return of capital, and NAV erosion has persisted. As a CEF, standard operating company metrics do not apply.</w:t>
      </w:r>
    </w:p>
    <w:p>
      <w:r>
        <w:rPr>
          <w:rFonts w:ascii="Calibri" w:hAnsi="Calibri"/>
          <w:b/>
          <w:color w:val="6E8450"/>
          <w:sz w:val="18"/>
        </w:rPr>
        <w:t>https://www.pimco.com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PIMCO's dynamic allocation strategy has navigated multiple fixed income market cycles since PDI's 2012 inception, rotating across mortgage-backed securities, high-yield credit, emerging markets, and sovereign bonds to optimize risk-adjusted returns — NAV 1-year return of +10.3%, 5-year +6.2%, 10-year +8.7% [1]. This represents investment management adaptation, not product innovation in the IOWN framework sense. AI Deployment (0/2): No AI-powered investment capabilities or AI products disclosed to fund investors. PIMCO may use quantitative models internally but no specific AI deployment with measurable results has been reported for PDI. Market Share (1/2): PDI is one of the largest and most recognized closed-end fixed income funds globally, managed by PIMCO — widely regarded as the premier global fixed income manager with over $2 trillion in AUM [1]. Strong brand positioning in the CEF space with significant retail and institutional following. Product Pipeline (0/2): Closed-end fund with a fixed mandate; no product pipeline applicable. The fund's investment guidelines constrain strategic evolution. R&amp;D Intensity (0/1): Not applicable to a fund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PDI is a closed-end investment fund vehicle with no independent mission, purpose, or vision statement — it exists to generate monthly income distributions for shareholders [2]. No articulated reason for existence beyond investment returns. PIMCO as a firm may have a broader investment philosophy, but the fund itself has no cause. Community Impact (0/2): Not applicable to a fund vehicle. PIMCO as a firm incorporates ESG factors into investment research, but PDI has no community investment programs or charitable activities. Employee Retention (0/2): Not applicable — PDI has no employees. The fund is managed by PIMCO portfolio managers as part of their broader fixed income mandates. Insider Buying (1/2): PIMCO portfolio managers typically maintain positions in their managed funds, providing fiduciary alignment with shareholders, though specific insider buying data for PDI management is not publicly available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mechanically on the limited metrics available for a closed-end fund, with significant caveats. D/E of 47.4% is below the 70% target, though for a CEF this represents portfolio leverage rather than corporate debt — fundamentally different from operating company D/E [3]. ROE of 12.0% approaches but falls short of the 15% target, representing investment returns rather than operating efficiency. The fund has paid uninterrupted monthly distributions for approximately 14 years since its 2012 inception, exceeding the 10-year consecutive payment target. However, distribution growth has been essentially flat (0% CAGR), and the 75.73% coverage ratio indicates ~24% of distributions come from return of capital, contributing to persistent NAV erosion [1]. Revenue growth, Forward P/E, profit margin, and payout ratio metrics are not applicable to a fund vehicle and are excluded. Note: the IOWN Infrastructure framework was designed for operating companies; this score reflects available CEF metrics mapped to the framework rather than a true apples-to-apples comparison. Liquidity floor cleared at ~$57.2M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PDI as a closed-end fund vehicle is inherently a finite-game construct — it exists to generate monthly income distributions, not to advance a cause or build something enduring. PIMCO as a firm has infinite-game qualities (50+ year operating history, deep institutional expertise, multi-generational client relationships), but the fund itself has no Just Cause, no team culture, and no capacity for strategic reinvention. The IOWN Infinite Game framework is designed for operating companies with strategic agency, not fund vehicles with fixed mandates.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PDI exists to generate monthly income distributions for shareholders — a purely financial objective with no articulated vision of a better future, no purpose beyond returns, and no cause that anyone would sacrifice to advance [2]. This is the quintessential finite game: optimize this month's distribution, manage next quarter's NAV. PIMCO's broader philosophy of 'delivering superior investment returns' is a goal, not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applicable to a fund vehicle. PDI has no employees, no organizational culture, and no team dynamics in the Sinek framework sense. It is managed by PIMCO portfolio managers as part of their broader fixed income mandates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Not meaningfully applicable to a fund vehicle. While PIMCO competes with other fixed income managers (BlackRock, DoubleLine, TCW), the concept of worthy rivals — using competitive pressure for institutional self-improvement — does not translate to a CEF structure that has no organizational identity independent of its manager.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 closed-end fund with a fixed income mandate cannot pivot, reinvent, or transform itself. The fund's investment guidelines, leverage parameters, and distribution policies are established at inception and constrain strategic flexibility [1]. PDI will remain a leveraged fixed income fund until it is liquidated or merged — there is no capacity for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PIMCO has historically taken contrarian positions in fixed income markets, including significant bets on non-agency mortgage-backed securities during the post-2008 recovery when other managers retreated [1]. The fund's dynamic allocation mandate allows rotation into dislocated assets during market stress — a form of courage at the portfolio management level. However, this is investment strategy, not leadership courage in the Sinek sense of sacrificing short-term results for long-term organizational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PIMCO Dynamic Income Fund at $15.33 with a 16.4% yield and managed by the premier global fixed income franchise offers exceptional monthly income generation for yield-focused investors willing to accept structural risks [1]. PIMCO's expertise in non-agency MBS, high-yield credit, and emerging markets debt has delivered NAV total returns of +10.3% (1yr), +6.2% (5yr), and +8.7% (10yr), demonstrating the manager's ability to generate returns across rate cycles. The fund's D/E of 47.4% represents moderate leverage by CEF standards, and a 14-year uninterrupted distribution track record through multiple market crises (COVID-19, 2022 rate shock) demonstrates income reliability. For investors whose primary objective is high current income rather than capital appreciation, PDI delivers on its core promise with world-class management.</w:t>
      </w:r>
    </w:p>
    <w:p>
      <w:pPr>
        <w:spacing w:after="120"/>
      </w:pPr>
      <w:r>
        <w:rPr>
          <w:rFonts w:ascii="Calibri" w:hAnsi="Calibri"/>
          <w:b w:val="0"/>
          <w:color w:val="3A4A28"/>
          <w:sz w:val="20"/>
        </w:rPr>
        <w:t>The IOWN framework is designed to evaluate operating companies, not fund vehicles, and PDI's overall score of 33 reflects this structural mismatch rather than a judgment solely on the fund's income generation capability. The real risks are investment-specific: (1) the 75.73% distribution coverage ratio means approximately 24% of distributions come from return of capital, contributing to persistent NAV erosion that undermines long-term income sustainability [1]; (2) leverage of ~40-50% amplifies both returns and losses, creating significant NAV volatility during fixed income sell-offs — a rapid rise in credit spreads could drive double-digit NAV declines; (3) the stock has declined from $20.17 (52-week high) to $15.33, a 24% drop, with the price now near its 52-week low of $14.88; (4) the fund trades at a modest premium to NAV (~4%), meaning new buyers pay more than the underlying portfolio is worth [1]. The Inspire Impact Score of 0 (MIXED) with empty attributions reflects the difficulty of applying values-based screens to a diversified fixed income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cuts creating capital gains in PIMCO's fixed income portfolio while the leverage structure amplifies the upside, potentially driving NAV appreciation alongside the 16.4% distribution yield [1]</w:t>
      </w:r>
    </w:p>
    <w:p>
      <w:pPr>
        <w:spacing w:before="40" w:after="40"/>
        <w:ind w:left="283"/>
      </w:pPr>
      <w:r>
        <w:rPr>
          <w:rFonts w:ascii="Calibri" w:hAnsi="Calibri"/>
          <w:b/>
          <w:color w:val="4A6B25"/>
          <w:sz w:val="20"/>
        </w:rPr>
        <w:t xml:space="preserve">2. </w:t>
      </w:r>
      <w:r>
        <w:rPr>
          <w:rFonts w:ascii="Calibri" w:hAnsi="Calibri"/>
          <w:b w:val="0"/>
          <w:color w:val="3A4A28"/>
          <w:sz w:val="20"/>
        </w:rPr>
        <w:t>PIMCO's dynamic allocation rotating into dislocated credit opportunities — non-agency MBS, high-yield, or emerging markets — during periods of market stress, generating alpha from contrarian positioning backed by PIMCO's unmatched fixed income research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 unsustainability — 75.73% coverage ratio means ~24% of the $2.65 annual distribution comes from return of capital, gradually eroding NAV and the fund's long-term income generation capacity; if coverage continues to decline, a distribution cut becomes increasingly likely [1]</w:t>
      </w:r>
    </w:p>
    <w:p>
      <w:pPr>
        <w:spacing w:before="40" w:after="40"/>
        <w:ind w:left="283"/>
      </w:pPr>
      <w:r>
        <w:rPr>
          <w:rFonts w:ascii="Calibri" w:hAnsi="Calibri"/>
          <w:b/>
          <w:color w:val="4A6B25"/>
          <w:sz w:val="20"/>
        </w:rPr>
        <w:t xml:space="preserve">2. </w:t>
      </w:r>
      <w:r>
        <w:rPr>
          <w:rFonts w:ascii="Calibri" w:hAnsi="Calibri"/>
          <w:b w:val="0"/>
          <w:color w:val="3A4A28"/>
          <w:sz w:val="20"/>
        </w:rPr>
        <w:t>Leverage amplification risk — 40-50% portfolio leverage creates outsized NAV volatility during credit stress events or rapid interest rate increases; a repeat of the 2022 rate shock environment could drive significant permanent NAV impairment [1]</w:t>
      </w:r>
    </w:p>
    <w:p>
      <w:pPr>
        <w:spacing w:before="40" w:after="40"/>
        <w:ind w:left="283"/>
      </w:pPr>
      <w:r>
        <w:rPr>
          <w:rFonts w:ascii="Calibri" w:hAnsi="Calibri"/>
          <w:b/>
          <w:color w:val="4A6B25"/>
          <w:sz w:val="20"/>
        </w:rPr>
        <w:t xml:space="preserve">3. </w:t>
      </w:r>
      <w:r>
        <w:rPr>
          <w:rFonts w:ascii="Calibri" w:hAnsi="Calibri"/>
          <w:b w:val="0"/>
          <w:color w:val="3A4A28"/>
          <w:sz w:val="20"/>
        </w:rPr>
        <w:t>Premium-to-NAV compression — the fund trades at ~4% premium to NAV, meaning new buyers overpay for the underlying portfolio; if sentiment turns, the premium could flip to a discount, creating a dual headwind of NAV decline plus discount widening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PIMCO's fixed income management involves complex multi-asset allocation across global bond markets, mortgage-backed securities, and credit instruments requiring deep expertise in regulatory environments, counterparty relationships, macro analysis, and market microstructure [1]. Institutional fixed income investing cannot be easily replicated by AI — it requires relationships with issuers, access to private placements, and regulatory compliance that create structural moats. The CEF structure itself (fixed share count, exchange-traded, leverage management) adds complexity that protects against commoditization. PIMCO's brand and track record in fixed income create reputational moats that AI cannot displace. However, AI-powered quantitative strategies are increasingly competitive in liquid fixed income markets, and robo-advisory platforms could pressure fee structures over time. AI Opportunity (0/1): No AI revenue or AI-powered investment products disclosed to fund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PIMCO Dynamic Income Fund — NAV Performance (1yr +10.3%, 5yr +6.2%, 10yr +8.7%), Distribution Data ($2.65 annual, 16.4% yield, 75.73% coverage), Premium/Discount to NAV (~4% premium), 52-week Range $14.88-$20.17 — CEFData, CEFConnect, Morningstar, PIMCO.com,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PIMCO Dynamic Income Fund Overview — Closed-End Fixed Income Fund, Dynamic Allocation, Leverage Structure, ESG Integration — PIMCO Investor Relations, SEC NPORT-P Filing FY2026, StockAnalysis</w:t>
      </w:r>
    </w:p>
    <w:p>
      <w:pPr>
        <w:spacing w:before="20" w:after="20"/>
        <w:ind w:left="170"/>
      </w:pPr>
      <w:r>
        <w:rPr>
          <w:rFonts w:ascii="Calibri" w:hAnsi="Calibri"/>
          <w:b/>
          <w:color w:val="4A6B25"/>
          <w:sz w:val="15"/>
        </w:rPr>
        <w:t xml:space="preserve">3. </w:t>
      </w:r>
      <w:r>
        <w:rPr>
          <w:rFonts w:ascii="Calibri" w:hAnsi="Calibri"/>
          <w:b w:val="0"/>
          <w:color w:val="3A4A28"/>
          <w:sz w:val="17"/>
        </w:rPr>
        <w:t>StockAnalysis, CNBC, Investing.com — PDI Key Statistics: D/E 47.4%, ROE 12.0%, Stock Price $15.33, Avg Volume 3.73M,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