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PEB</w:t>
      </w:r>
      <w:r>
        <w:rPr>
          <w:rFonts w:ascii="Calibri" w:hAnsi="Calibri"/>
          <w:b/>
          <w:color w:val="1A2010"/>
          <w:sz w:val="40"/>
        </w:rPr>
        <w:t xml:space="preserve">  Pebblebrook Hotel Trust</w:t>
      </w:r>
    </w:p>
    <w:p>
      <w:pPr>
        <w:spacing w:after="120"/>
      </w:pPr>
      <w:r>
        <w:rPr>
          <w:rFonts w:ascii="Calibri" w:hAnsi="Calibri"/>
          <w:b/>
          <w:color w:val="6E8450"/>
          <w:sz w:val="18"/>
        </w:rPr>
        <w:t>GROWTH SLEEVE · 2026-09-11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Hotel &amp; Resort REITs · NYSE · United States</w:t>
      </w:r>
    </w:p>
    <w:p>
      <w:pPr>
        <w:spacing w:after="80"/>
      </w:pPr>
      <w:r>
        <w:rPr>
          <w:rFonts w:ascii="Calibri" w:hAnsi="Calibri"/>
          <w:b w:val="0"/>
          <w:color w:val="3A4A28"/>
          <w:sz w:val="20"/>
        </w:rPr>
        <w:t>Pebblebrook Hotel Trust is a real estate investment trust (REIT) and the largest owner of urban and resort lifestyle hotels in the United States, owning 44 hotels totaling approximately 11,000 guest rooms across 13 urban and resort markets [1]. Founded and led by Chairman and CEO Jon Bortz since 2009, the company acquires, owns, and renovates upper-upscale, full-service hotels operated by third-party management companies under major brands and independent lifestyle collections. Q2 2026 same-property hotel EBITDA rose 7.1% to $123.3M and management raised full-year same-property RevPAR growth guidance to 4.5-5.5% [1].</w:t>
      </w:r>
    </w:p>
    <w:p>
      <w:r>
        <w:rPr>
          <w:rFonts w:ascii="Calibri" w:hAnsi="Calibri"/>
          <w:b/>
          <w:color w:val="6E8450"/>
          <w:sz w:val="18"/>
        </w:rPr>
        <w:t>130 Employees · https://pebblebrookhotels.com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Pebblebrook has continuously repositioned its portfolio — selling non-core assets and reinvesting renovation capital into upgrading full-service hotels to independent 'lifestyle' brands — but this is portfolio management rather than a transformative business-model pivot [1]. AI Deployment (1/2): Like most hotel REITs, portfolio-level revenue management and dynamic pricing use standard third-party algorithmic tools via hotel managers, but no PEB-specific AI product or quantified savings was found. Market Share (1/2): PEB is the largest owner of urban/resort lifestyle hotels by a specific niche definition, but it competes in a fragmented category against Host Hotels, RLJ, Sunstone, and DiamondRock with no dominant share position [2]. Product Pipeline (1/2): Quarterly disclosures name specific renovation projects and reopening timelines tied to the raised FY2026 RevPAR and AFFO guidance ($1.69-$1.76), giving some forward visibility [1]. R&amp;D Intensity (0/1): Not applicable/no disclosed R&amp;D spend for a hotel-owning REIT.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PEB's stated mission is to 'generate long-term industry-leading total returns to our shareholders through opportunistic investments in lifestyle hotels and resorts... and support our commitment to sustainability, our employees, hotel associates, and the communities in which we operate' — clear about what the company does and for whom, but leads with shareholder returns rather than a deeper differentiated purpose [3]. Community Impact (1/2): PEG participates in AHLA's 5-Star Promise on sexual assault prevention and has published ESG reports since 2019 via a formal ESG Committee, but no distinctive dollar-quantified community programs were found [4]. Employee Retention (0/2): No employee tenure or turnover data is publicly available. Insider Buying (1/2): CEO Jon Bortz purchased 40,000 shares (~$678,600) in the past six months including a 20,000-share buy in June 2026, but also sold 50,000 shares (~$563,150) in the same window, making the net insider signal only modestly positive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and PEG unavailable due to negative/near-zero earnings, excluded from calculation). D/E of 98% is above the 70% target but reflects typical hotel-REIT leverage against $2.62B in debt versus $227M cash [source]. ROE (-1.63%) and profit margin (-3.11%) both score zero, reflecting continued GAAP net losses (-$78.6M TTM) despite five straight years of revenue recovery. Revenue growth of ~2.1% TTM is modest, and the 5-year revenue CAGR (~19%, 2021-2025) is inflated by the COVID-recovery base effect from a depressed 2021, not organic acceleration. The stock clears the liquidity floor comfortably (~$33.6M average daily dollar volume against a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Pebblebrook is a well-run, opportunistic hotel-REIT operator, but its guiding narrative is shareholder total-return maximization first, with employee, community, and sustainability commitments appended rather than central. Sinek would note the absence of a distinctive Just Cause beyond financial performance, and the lack of any evidence of costly sacrifice, cross-cycle consistency, or transformative reinvention that would elevate this from a well-managed finite player to an infinite one.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PEB's mission statement centers on generating 'industry-leading total returns to our shareholders,' with sustainability and community commitments framed as secondary support items rather than the organizing purpose [3]. This reads as a returns-oriented finite mission with ESG language appended, not a resilient, service-oriented cause that predates and outlasts any single leader or product cycle.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Jon Bortz has led the company as founder-CEO for 16 years, providing exceptional leadership continuity, and no layoff or turnover controversies were identified in research. However, no positive evidence of exceptional employee empowerment or psychological safety was found either — the picture is one of stability without demonstrated distinction.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PEG's competitive posture toward peer hotel REITs (Host Hotels, RLJ, Sunstone, DiamondRock) — neither predatory 'destroy the competition' language nor an explicit worthy-rival, learn-from-peers framing was identified in available research.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PEB has evolved its portfolio strategy over time, repositioning legacy full-service hotels into independent 'lifestyle' brand properties and rotating capital from lower-growth assets into renovated, higher-RevPAR resorts and urban lifestyle hotels [1]. This is incremental portfolio evolution rather than a transformative reinvention of the business model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has continued funding hotel renovations and repositioning capex even as Q3 2026 RevPAR guidance decelerated to just 1.0-3.0% growth, suggesting a willingness to invest through a softening near-term demand environment rather than cutting capex to protect quarterly AFFO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Pebblebrook's Q2 2026 results beat expectations, with same-property hotel EBITDA up 7.1% to $123.3M and management raising full-year same-property RevPAR growth guidance to 4.5-5.5% and adjusted FFO per share to $1.69-$1.76 [1]. CEO Jon Bortz's recent open-market purchases (40,000 shares, ~$678,600, over the past six months, including a $341,800 buy in June 2026) signal insider confidence near a depressed valuation, and the stock's ~0.98x book-adjusted leverage profile against a diversified 44-hotel urban/resort portfolio provides exposure to a continued travel-demand recovery [5]. As a physical real-estate owner, PEB's core asset base is structurally immune to AI disruption, and third-party operators' adoption of AI-driven revenue management tools may improve hotel-level margins at no cost to PEB.</w:t>
      </w:r>
    </w:p>
    <w:p>
      <w:pPr>
        <w:spacing w:after="120"/>
      </w:pPr>
      <w:r>
        <w:rPr>
          <w:rFonts w:ascii="Calibri" w:hAnsi="Calibri"/>
          <w:b w:val="0"/>
          <w:color w:val="3A4A28"/>
          <w:sz w:val="20"/>
        </w:rPr>
        <w:t>The bear case centers on balance sheet strain and decelerating momentum: PEB carries $2.62B in debt against just $227M in cash (a $2.39B net debt position) and remains GAAP unprofitable, with a -1.63% ROE and -3.11% profit margin reflecting persistent losses (-$78.6M TTM) despite five years of revenue recovery [source]. Q3 2026 guidance calls for RevPAR growth of just 1.0-3.0%, a sharp deceleration from the 4.5-5.5% full-year target, raising questions about the durability of the current upcycle. The token dividend yield (~0.2-0.3%) reflects a payout maintained primarily to satisfy REIT distribution requirements rather than genuine income generation, and the 5-year revenue CAGR is flattered by a depressed 2021 COVID base rather than reflecting steady organic growth. The Infinite Game and Inspiration scores are held back by a shareholder-returns-first mission statement and no evidence of the kind of costly, cause-driven strategic decisions that would mark PEB as a truly infinite-minded operator.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RevPAR acceleration into H2 2026 toward the raised 4.5-5.5% full-year guidance, driven by resilient leisure demand and recovering group/business-travel bookings [1]</w:t>
      </w:r>
    </w:p>
    <w:p>
      <w:pPr>
        <w:spacing w:before="40" w:after="40"/>
        <w:ind w:left="283"/>
      </w:pPr>
      <w:r>
        <w:rPr>
          <w:rFonts w:ascii="Calibri" w:hAnsi="Calibri"/>
          <w:b/>
          <w:color w:val="4A6B25"/>
          <w:sz w:val="20"/>
        </w:rPr>
        <w:t xml:space="preserve">2. </w:t>
      </w:r>
      <w:r>
        <w:rPr>
          <w:rFonts w:ascii="Calibri" w:hAnsi="Calibri"/>
          <w:b w:val="0"/>
          <w:color w:val="3A4A28"/>
          <w:sz w:val="20"/>
        </w:rPr>
        <w:t>Completion and ramp of ongoing hotel renovations repositioning assets into higher-RevPAR independent lifestyle brands, supporting margin expansion as capex-disrupted properties return to full service</w:t>
      </w:r>
    </w:p>
    <w:p>
      <w:pPr>
        <w:spacing w:before="40" w:after="40"/>
        <w:ind w:left="283"/>
      </w:pPr>
      <w:r>
        <w:rPr>
          <w:rFonts w:ascii="Calibri" w:hAnsi="Calibri"/>
          <w:b/>
          <w:color w:val="4A6B25"/>
          <w:sz w:val="20"/>
        </w:rPr>
        <w:t xml:space="preserve">3. </w:t>
      </w:r>
      <w:r>
        <w:rPr>
          <w:rFonts w:ascii="Calibri" w:hAnsi="Calibri"/>
          <w:b w:val="0"/>
          <w:color w:val="3A4A28"/>
          <w:sz w:val="20"/>
        </w:rPr>
        <w:t>CEO Jon Bortz's continued open-market share purchases, which could attract value-oriented investors to a REIT trading well below net asset value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High leverage — $2.62B in debt against a $2.06B market cap and only $227M in cash — creates refinancing and interest-expense sensitivity if rates remain elevated [source]</w:t>
      </w:r>
    </w:p>
    <w:p>
      <w:pPr>
        <w:spacing w:before="40" w:after="40"/>
        <w:ind w:left="283"/>
      </w:pPr>
      <w:r>
        <w:rPr>
          <w:rFonts w:ascii="Calibri" w:hAnsi="Calibri"/>
          <w:b/>
          <w:color w:val="4A6B25"/>
          <w:sz w:val="20"/>
        </w:rPr>
        <w:t xml:space="preserve">2. </w:t>
      </w:r>
      <w:r>
        <w:rPr>
          <w:rFonts w:ascii="Calibri" w:hAnsi="Calibri"/>
          <w:b w:val="0"/>
          <w:color w:val="3A4A28"/>
          <w:sz w:val="20"/>
        </w:rPr>
        <w:t>Q3 2026 guidance of just 1.0-3.0% RevPAR growth signals a meaningful deceleration from Q2's 7.1% same-property EBITDA growth pace, raising doubt about full-year guidance durability [1]</w:t>
      </w:r>
    </w:p>
    <w:p>
      <w:pPr>
        <w:spacing w:before="40" w:after="40"/>
        <w:ind w:left="283"/>
      </w:pPr>
      <w:r>
        <w:rPr>
          <w:rFonts w:ascii="Calibri" w:hAnsi="Calibri"/>
          <w:b/>
          <w:color w:val="4A6B25"/>
          <w:sz w:val="20"/>
        </w:rPr>
        <w:t xml:space="preserve">3. </w:t>
      </w:r>
      <w:r>
        <w:rPr>
          <w:rFonts w:ascii="Calibri" w:hAnsi="Calibri"/>
          <w:b w:val="0"/>
          <w:color w:val="3A4A28"/>
          <w:sz w:val="20"/>
        </w:rPr>
        <w:t>Persistent GAAP net losses (-$78.6M TTM) despite top-line recovery reflect structurally high interest expense and hotel operating cost inflation that continue to erode profitability [source]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Pebblebrook's core asset — physical hotel real estate in prime urban and resort markets — is structurally immune to AI substitution; AI cannot replace a physical building or a destination stay. Third-party operators' use of AI-driven revenue management and labor-scheduling tools may even benefit PEB as an owner by improving hotel-level margins without any capital outlay from PEB itself [1]. No analyst commentary was found flagging AI disruption risk to hotel real estate ownership. AI Opportunity (0/1): As a passive real estate owner, PEB does not generate any quantifiable AI-related revenue itself.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Pebblebrook Hotel Trust Q2 2026 Earnings Release and Investor Call, August 2026</w:t>
      </w:r>
    </w:p>
    <w:p>
      <w:pPr>
        <w:spacing w:before="20" w:after="20"/>
        <w:ind w:left="170"/>
      </w:pPr>
      <w:r>
        <w:rPr>
          <w:rFonts w:ascii="Calibri" w:hAnsi="Calibri"/>
          <w:b/>
          <w:color w:val="4A6B25"/>
          <w:sz w:val="15"/>
        </w:rPr>
        <w:t xml:space="preserve">2. </w:t>
      </w:r>
      <w:r>
        <w:rPr>
          <w:rFonts w:ascii="Calibri" w:hAnsi="Calibri"/>
          <w:b w:val="0"/>
          <w:color w:val="3A4A28"/>
          <w:sz w:val="17"/>
        </w:rPr>
        <w:t>Simply Wall St / Comparably — Pebblebrook Hotel Trust Leadership and Peer Comparison,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Pebblebrook Hotel Trust — Mission and Core Values, Corporate Responsibility, pebblebrookhotels.com,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Pebblebrook Hotel Trust ESG Reporting and AHLA 5-Star Promise Commitment,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GuruFocus / Quiver Quantitative — Jon E. Bortz Insider Trading Activity,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PEB Statistics and Financials,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