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PEP</w:t>
      </w:r>
      <w:r>
        <w:rPr>
          <w:rFonts w:ascii="Calibri" w:hAnsi="Calibri"/>
          <w:b/>
          <w:color w:val="1A2010"/>
          <w:sz w:val="40"/>
        </w:rPr>
        <w:t xml:space="preserve">  PepsiCo,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2026-10-16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Beverages - Non-Alcoholic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PepsiCo is a global food and beverage company operating through seven segments spanning beverages and convenient foods across 200+ countries. Its portfolio includes Pepsi, Lay's, Gatorade, Doritos, Mountain Dew, Quaker, and Cheetos. Q3 2026 net revenue rose 5.6% YoY to $25.27B with adjusted EPS of $2.34 (+17%), though the company cut full-year EPS growth guidance to 2.5-3.5% from the low end of 5-7%. The $1.95B Poppi prebiotic soda acquisition (2025) signals a pivot toward health-conscious consumers.</w:t>
      </w:r>
    </w:p>
    <w:p>
      <w:r>
        <w:rPr>
          <w:rFonts w:ascii="Calibri" w:hAnsi="Calibri"/>
          <w:b/>
          <w:color w:val="6E8450"/>
          <w:sz w:val="18"/>
        </w:rPr>
        <w:t>318,000 Employees · https://www.pepsico.com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PepsiCo has executed incremental product refreshes — zero-sugar expansions across Pepsi and Mountain Dew, reformulated snacks, and new flavor extensions — plus the strategically significant $1.95B acquisition of Poppi prebiotic soda in 2025 addressing the fast-growing functional beverage segment, but has not undergone a transformative business model pivot [1][2]. AI Deployment (1/2): CEO Laguarta committed to making PepsiCo fully 'agentic AI-first' by end of 2026, with Gen AI deployed across supply chain optimization and demand forecasting [3]. Chief Strategy Officer Athina Kanioura drives AI transformation efforts. However, no AI-powered consumer products are shipping and no specific cost savings have been quantified publicly. Market Share (2/2): Frito-Lay commands approximately 60% of the U.S. salty snack market, a dominant category-defining position, with U.S. salty snacks returning to volume growth and share gains in 2026 [2]. PepsiCo holds the #2 global beverage position behind Coca-Cola with leading positions in sports drinks (Gatorade) and energy. Product Pipeline (1/2): Poppi integration and international expansion (on track to exceed $40B annual international sales) provide revenue visibility, but specific next-generation product launches with named timelines are not publicly disclosed beyond standard annual refresh cycles [2]. R&amp;D Intensity (1/1): R&amp;D spending is above food and beverage sector average, with material investments in food science, sustainable packaging, and AI-driven manufacturing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PepsiCo's purpose — 'Creating Smiles with Every Sip and Every Bite' — is clear but not distinctive; any CPG company could claim the same aspiration [4]. The pep+ (PepsiCo Positive) sustainability transformation adds substance with specific environmental commitments (Positive Agriculture, Positive Value Chain, Positive Choices) but functions as a corporate program rather than a purpose that shapes every strategic decision. Community Impact (1/2): The PepsiCo Foundation supports global food security and water safety programs, and the company reduced Scope 1 and 2 emissions 25% from 2015 baseline with 70%+ renewable electricity [4]. However, PepsiCo recently pushed back climate and packaging goals citing 'external realities,' and faces a New York State plastic pollution lawsuit, undermining the credibility of environmental commitments. Employee Retention (1/2): PepsiCo is recognized as a 'CEO factory' producing Fortune 500 leaders including Target's Brian Cornell, McDonald's Chris Kempczinski, and Delta's Ed Bastian, suggesting strong leadership development and retention [3]. CEO Laguarta has led since 2018, providing stability. However, specific voluntary turnover data is not publicly available. Insider Buying (0/2): Net insider selling over the past 12 months with no significant purchases; corporate insider sentiment is negative with increased selling activity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Dividend sleeve metrics. PepsiCo's strongest contributors are its exceptional dividend history — 54 consecutive years of growth (Dividend King status) earning maximum marks on the 2x-weighted consecutive years paid and 5-year dividend growth CAGR (~7%) metrics [5]. ROE of 52.2% far exceeds the 15% target, though amplified by leveraged balance sheet (1x weight). Forward P/E of 14.86x is well below the 20x target, reflecting the stock's pullback from $143 to $128 (score 1.0) [5]. Consecutive years growth at 54 scores 1.0 (1x). Key drags: D/E of 230.7% is well above the 70% target (score 0.30, 1x), reflecting PepsiCo's aggressive leverage strategy for buybacks. Profit margin of 11.1% scores 0.56 (1x), structurally low versus broader market due to capital-intensive food manufacturing. Revenue growth YoY of 5.6% (score 0.85, 1x) and estimated 5-year CAGR of ~5% (score 0.67, 1x) fall short of the 10% target. Payout ratio of ~68% scores 0.53 (1x). Easily clears liquidity floor with ~$1.09B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PepsiCo operates with a mixed infinite/finite mindset. The company has demonstrated longevity and adaptability across decades, building a diversified food and beverage empire through strategic acquisitions and maintaining a productive worthy-rival relationship with Coca-Cola. However, the Q3 2026 guidance cut to 2.5-3.5% EPS growth from 5-7% reveals management managing to quarterly expectations, leadership pushed back sustainability commitments when costs became uncomfortable, and the absence of a transformative strategic pivot in recent decades suggests steady execution within an established framework rather than infinite game boldness.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PepsiCo's purpose — 'Creating Smiles with Every Sip and Every Bite' — exists but is shallow, essentially restating the food and beverage business model [4]. The pep+ sustainability platform adds environmental substance but reads as a corporate program rather than a Just Cause. Earnings calls focus on volume, organic revenue growth, and market share rather than a vision of a better future. The Q3 2026 guidance cut from 5-7% to 2.5-3.5% EPS growth and management's response to 'manage within what we can control' reflects finite game optimization rather than cause-driven leadership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PepsiCo's reputation as a 'CEO factory' producing Fortune 500 leaders (Brian Cornell, Chris Kempczinski, Ed Bastian) indicates strong leadership development and organizational trust at senior levels [3]. CEO Laguarta (since 2018) provides stability and internal promotion tradition suggests meritocratic advancement. However, the company's massive scale (318,000 employees, 200+ countries) and frequent structural reorganizations make deep organizational trust difficult to maintain across the enterprise.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PepsiCo's relationship with Coca-Cola represents one of the longest-running and most productive competitive dynamics in business history. Rather than attempting to destroy Coca-Cola, PepsiCo used the rivalry to diversify into snacks and functional beverages, acknowledging Coca-Cola's beverage strength and building complementary capabilities [1]. Management commentary focuses on category growth and consumer trends rather than competitor destruction, competing through product innovation rather than predatory pricing.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PepsiCo has evolved significantly from a single beverage company — the Frito-Lay merger (1965), Quaker Oats acquisition (2001), and Poppi acquisition (2025) demonstrate willingness to enter adjacent markets [1]. The company now generates more operating profit from snacks than beverages, a meaningful strategic evolution. However, these were incremental expansions rather than transformative pivots — PepsiCo has never abandoned a core business line, and the fundamental CPG manufacturing-and-distribution model has been unchanged for decades.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$1.95B Poppi acquisition shows willingness to invest in the health-conscious beverage trend at a premium valuation, and the pep+ sustainability transformation has committed real capital to environmental goals [1][4]. However, PepsiCo cut EPS growth guidance from 5-7% to 2.5-3.5% in Q3 2026 while simultaneously planning increased investment in North American brand building, showing tension between long-term investment and near-term earnings management [1]. The company pushed back its own climate and packaging goals citing 'external realities,' and the board historically opposed shareholder sustainability proposals — revealing finite pragmatism when commitments become costly.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PepsiCo at $128.38 (14.86x forward earnings) offers a compelling valuation entry point into the world's most diversified food and beverage portfolio — the stock has pulled back ~10% from summer highs, compressing the multiple to levels rarely seen for a 54-year Dividend King [5]. Frito-Lay's ~60% U.S. salty snack market share provides a profit engine, while international revenue is on track to exceed $40B annually with Q3 2026 results showing net revenue up 5.6% to $25.27B and adjusted EPS of $2.34 beating estimates by $0.05 [1]. The 4.22% dividend yield with ~7% 5-year growth CAGR and 0.36 beta offers a mid-to-high single-digit total return floor with defensive characteristics. The Poppi acquisition positions PepsiCo in high-growth functional beverages, and management plans to increase North American brand-building investment to reaccelerate domestic volumes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has intensified with the Q3 2026 guidance cut. PepsiCo reduced full-year core EPS growth guidance to 2.5-3.5% from the low end of 5-7%, signaling limited near-term earnings power [1]. Organic revenue growth of just 2.7% through nine months reveals underlying growth barely above inflation, with reported figures flattered by acquisitions and favorable currency. North American beverages continue to face volume pressure, and GLP-1 weight-loss drug adoption could structurally reduce snack food and sugary beverage consumption over the medium term. D/E of 230.7% and ~68% payout ratio leave limited balance sheet flexibility if earnings decelerate further [5]. The New York State plastic pollution lawsuit and PepsiCo's pullback on climate/packaging commitments create ESG risk and reputational headwinds [4]. The Inspire Impact Score of -49 (MISALIGNED) limits allocation for faith-based investors. Profit margin of 11.1% is structurally low versus pure-play beverage peers like Coca-Cola (~23%), reflecting the cost structure of food manufacturing and distribution.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International revenue exceeding $40B annually with broad-based momentum across emerging markets — Q3 2026 international growth continues to offset North American softness, providing a diversification engine as PepsiCo's global footprint deepens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Increased North American brand-building investment planned for H2 2026 and into 2027, targeting volume reacceleration in the core domestic market where Frito-Lay's 60% salty snack share provides a strong base for recovery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54-year Dividend King at 14.86x forward P/E and 4.22% yield — PepsiCo trades at value multiples rarely seen for a consumer defensive compounder, offering significant re-rating potential if organic growth re-accelerates above 3%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EPS growth guidance cut to 2.5-3.5% from 5-7% signals slowing earnings momentum — organic revenue growth of 2.7% through nine months barely exceeds inflation, raising questions about PepsiCo's ability to sustain premium CPG valuation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GLP-1 weight-loss drug adoption (Ozempic, Mounjaro, Wegovy) could structurally reduce snack food and sugary beverage consumption over the medium term, threatening core Frito-Lay and Pepsi franchise volumes in PepsiCo's largest market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D/E of 230.7% constrains strategic flexibility — if earnings decelerate below guidance, the combination of leverage, ~68% payout ratio, and necessary brand-building investment creates competing demands on cash flow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PepsiCo's core business — manufacturing, distributing, and marketing physical food and beverages through 200+ plants and millions of retail endpoints — is structurally immune to AI disruption [1][2]. Consumers will continue eating chips and drinking beverages regardless of AI advancement, and the physical distribution infrastructure (including direct-store-delivery) creates a moat that software cannot replicate. Frito-Lay's 60% U.S. salty snack share is built on brand loyalty and shelf space dominance that AI cannot displace. Furthermore, PepsiCo is an AI beneficiary — AI data center growth increases demand for snacks and beverages at tech campuses and urban centers where PepsiCo's products are ubiquitous. The modest risk is that AI-powered personalized nutrition could gradually shift consumer preferences, but this is speculative and decades from material revenue impact. AI Opportunity (0/1): PepsiCo deploys AI internally for supply chain optimization, demand forecasting, and marketing analytics under Chief Strategy Officer Kanioura, but does not generate revenue from AI products sold to customers [3]. AI remains a cost efficiency tool, not a revenue driver.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PepsiCo Q3 FY2026 Earnings — Net Revenue $25.27B (+5.6% YoY), Adjusted EPS $2.34 (+17%), Organic Revenue +3.1%, Full-Year EPS Guidance Cut to 2.5-3.5% Growth — Pulse2, SEC Filing,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PepsiCo Q1-Q2 FY2026 Performance — Q1 Revenue +8.5%, Q2 Revenue $24.18B (+6.4%), Organic +2.4%, International On Track &gt;$40B, North America Beverages Volume Pressure — SEC Filings, Barchart,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PepsiCo Leadership and AI Strategy — CEO Laguarta's 'Agentic AI-First' Vision, CSCO Athina Kanioura, CEO Factory Reputation, AI Across Supply Chain and Demand Forecasting — Axios, EqualAI, Fortune,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PepsiCo ESG — pep+ Sustainability, Climate/Packaging Goals Pushback, New York Plastic Pollution Lawsuit, Sustainalytics ESG Score 22 (Medium Risk) — KnowESG, Food Navigator, Sustainalytics, 2023-2026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PepsiCo Financial Data — Price $128.38, P/E 16.15, Forward P/E 14.86, D/E 230.7%, ROE 52.2%, Margin 11.1%, Yield 4.22%, 54-Year Dividend King — Yahoo Finance,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