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PFG</w:t>
      </w:r>
      <w:r>
        <w:rPr>
          <w:rFonts w:ascii="Calibri" w:hAnsi="Calibri"/>
          <w:b/>
          <w:color w:val="1A2010"/>
          <w:sz w:val="40"/>
        </w:rPr>
        <w:t xml:space="preserve">  Principal Financial Group, Inc.</w:t>
      </w:r>
    </w:p>
    <w:p>
      <w:pPr>
        <w:spacing w:after="120"/>
      </w:pPr>
      <w:r>
        <w:rPr>
          <w:rFonts w:ascii="Calibri" w:hAnsi="Calibri"/>
          <w:b/>
          <w:color w:val="6E8450"/>
          <w:sz w:val="18"/>
        </w:rPr>
        <w:t>DIVIDEND SLEEVE · 2026-09-16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Principal Financial Group provides retirement, asset management, and insurance products and services to businesses, individuals, and institutional clients worldwide through Retirement and Income Solutions, Principal Asset Management, and Benefits and Protection segments. The company manages $808B in assets under management (+7% YoY) and reported Q2 2026 adjusted EPS growth of 17% YoY with enterprise earnings up 13% and 200bps of margin expansion. Founded in 1879, headquartered in Des Moines, Iowa. Market cap approximately $25.3 billion.</w:t>
      </w:r>
    </w:p>
    <w:p>
      <w:r>
        <w:rPr>
          <w:rFonts w:ascii="Calibri" w:hAnsi="Calibri"/>
          <w:b/>
          <w:color w:val="6E8450"/>
          <w:sz w:val="18"/>
        </w:rPr>
        <w:t>19,700 Employees · https://www.principal.com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Principal delivered Q2 2026 non-GAAP operating earnings of $547M (+12% YoY) with 6% net revenue growth and 200bps of margin expansion, while AUM reached $808B (+7% YoY) [1]. The company has evolved from a life insurance company to a diversified financial services platform spanning retirement ($500B+ retirement AUM), asset management (active ETF business), and specialty benefits over its 147-year history — a genuine multi-decade business model transformation. Record gross sales of $37B in Q1 (+21% YoY) driven by private markets and active ETFs represent a real product innovation opening new fee revenue streams [1]. AI Deployment (1/2): CEO Deanna Strable mandated AI literacy training across the C-suite and rolled out the company's first-ever AI literacy program for all 19,700 employees; CDAO Rajesh Arora leads a four-pillar AI strategy with an AI Center of Excellence [2]. CIO Kathy Kay balances traditional AI (used for a decade in underwriting) with emerging GenAI capabilities. No quantified revenue or cost savings from AI have been reported. Market Share (1/2): Principal is a meaningful player in workplace retirement, ranking among the top providers for U.S. small-to-medium businesses, but trails Fidelity, Vanguard, and Empower in overall scale [1]. The $808B AUM base is significant but positions Principal as a mid-tier player in global asset management. Product Pipeline (0/2): No specific next-gen products announced with defined timelines and revenue visibility; growth is organic expansion of existing product lines rather than pipeline launches. R&amp;D Intensity (0/1): Technology investment is meaningful for a financial services firm but falls below the R&amp;D intensity standard measured by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Principal's stated purpose — 'to make financial security accessible to all' — is specific, thoughtful, and connects the company's work to financial inclusion, a meaningful social cause [2]. This purpose has shaped strategic decisions over the company's 147-year history, including expansion into small business retirement plans and emerging markets. Named one of the World's Most Ethical Companies and a member of the Bloomberg Gender Equality Index, validating consistent values alignment [3]. Community Impact (1/2): Principal has achieved a 40% reduction in greenhouse gas emissions over the past 10 years, established an ESG task force driving sustainability commitments including net-zero by 2050, and launched financial inclusion programs targeting underserved populations [3]. These are genuine, measurable commitments that distinguish Principal from peers, though no specific dollar amounts for charitable foundations or community development programs were identified. Employee Retention (1/2): CEO Strable's 36-year tenure at Principal (joined 1990, rose through CFO to COO to CEO in 2024) exemplifies a promote-from-within culture that builds institutional trust [2]. Glassdoor rating of 3.9/5 across 2,800+ reviews cites career development and culture as positives. However, 'senior leadership' is a cited negative, and no specific retention data confirms mission-driven staying. Insider Buying (0/2): Net insider selling in the last 12 months with insiders owning only 1.12% of shares [1]. No meaningful open-market purchases detected.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adjusted EPS growth of 17% YoY with enterprise earnings up 13%, 6% net revenue growth, and 200bps of margin expansion; management targeting 9-12% full-year EPS growth [1]. D/E of 35.3% is well below the 70% target, reflecting conservative balance sheet management with $6.4B cash against $4.6B total debt. Forward P/E of 11.4x scores excellently against the 20x target, representing attractive valuation for a company guiding double-digit EPS growth. ROE of 12.95% is just below the 15% target, reflecting the diversified financial services mix. Profit margin of 9.93% is below the 20% target but improving through operational leverage. Revenue growth YoY of 6.4% approaches the 10% target. Dividend metrics are strong: ~25 consecutive years paid (since 2001 IPO), ~15 consecutive years of growth (resumed post-2009 financial crisis), 5-year dividend growth CAGR of approximately 6%, and payout ratio of 45.4% [1]. Nearly $800M returned to shareholders in H1 2026. Liquidity floor easily cleared at ~$170M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Principal Financial Group plays a moderately infinite game rooted in its 147-year history and purpose of making financial security accessible to all. CEO Strable's promotion from within after 36 years embodies long-term thinking, and the company's consistent dividend growth through market cycles — including growing the dividend through COVID-19 when peers cut — demonstrates patient capital allocation discipline. The AI literacy initiative for 19,700 employees and sustainability commitments (40% GHG reduction achieved) show forward-looking investment in organizational capability beyond quarterly earnings optimization. The company returned $800M to shareholders in H1 2026 while maintaining growth investments.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Principal's purpose — making financial security accessible to all — is genuine, inclusive, and has been validated by 147 years of serving retirement savers and businesses [2]. The company's expansion into financial inclusion, small business retirement plans, and emerging markets reflects strategic alignment with this cause. Named World's Most Ethical Companies and Bloomberg Gender Equality Index member, confirming values consistency [3]. However, the purpose, while genuine, is shared by many financial services firms and hasn't been tested by a transformative strategic pivot that proves it transcends the existing business model.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Strable's 36-year tenure at Principal (joining in 1990, rising through CFO to COO to CEO) demonstrates a promote-from-within culture that builds institutional trust [2]. Glassdoor's 3.9/5 rating with culture cited as a positive suggests adequate organizational health across 19,700 employees. The World's Most Ethical Companies designation reflects decision-making integrity. However, 'senior leadership' is listed as a common negative in reviews, and no exceptional trust evidence (voluntary turnover data, psychological safety examples) was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Principal acknowledges larger competitors — Fidelity, Vanguard, Empower — as having scale advantages while using that competitive pressure to differentiate through workplace retirement expertise for SMBs, specialty benefits, and international asset management [1]. Management's competitive language focuses on serving its niche and building distinct capabilities rather than defeating rivals, reflecting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Over its 147-year history, Principal has evolved from a mutual life insurance company to a diversified financial services platform spanning retirement, asset management, and benefits, including recent expansion into active ETFs and private markets [1]. The demutualization in 2001 (converting from mutual insurance to public company) was a genuine structural reinvention that fundamentally changed the company's governance and capital structure. However, these changes have been gradual extensions rather than dramatic strategic pivots — the company has steadily expanded within adjacent financial services rather than abandoning a core business.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CEO Strable mandated AI literacy training for all 19,700 employees, investing in long-term organizational capability when the immediate ROI was uncertain, and initially faced resistance from her own executive team but persisted [2]. Principal maintained and grew its dividend through the COVID-19 pandemic when many financial services peers cut dividends, demonstrating conviction in long-term capital return discipline over short-term cash preservation. The company achieved a 40% carbon emissions reduction over 10 years and committed to net-zero by 2050, representing significant resource commitment to sustainability over quarterly earnings maximization [3]. $800M returned to shareholders in H1 2026 while simultaneously investing in AI and growth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Principal Financial Group delivered a strong Q2 2026 with adjusted EPS growth of 17% YoY, enterprise earnings up 13%, and 200bps of margin expansion, while returning nearly $430M to shareholders ($800M year-to-date) [1]. AUM reached $808B (+7% YoY) with record gross sales driven by private markets and active ETF demand. Management reaffirmed 9-12% full-year EPS growth guidance and 14-16% ROE target. At $118.37 with a forward P/E of just 11.4x (PEG 1.06) and a 2.84% dividend yield backed by 15 consecutive years of growth, PFG offers compelling total return potential through dividend income plus double-digit EPS growth [1]. The 147-year operating history, World's Most Ethical Companies designation, promote-from-within culture (CEO Strable's 36-year tenure), and proactive AI strategy provide franchise durability and organizational stability.</w:t>
      </w:r>
    </w:p>
    <w:p>
      <w:pPr>
        <w:spacing w:after="120"/>
      </w:pPr>
      <w:r>
        <w:rPr>
          <w:rFonts w:ascii="Calibri" w:hAnsi="Calibri"/>
          <w:b w:val="0"/>
          <w:color w:val="3A4A28"/>
          <w:sz w:val="20"/>
        </w:rPr>
        <w:t>The bear case centers on competitive threats, margin structure, and insider behavior. Profit margin of 9.93% is thin for a financial services company and reflects the insurance business mix, limiting operating leverage even as revenue grows [1]. AI-powered robo-advisors and automated retirement planning tools threaten to commoditize Principal's advisory services over time, and larger competitors (Fidelity, Vanguard) have deeper technology budgets and lower-cost structures [2]. Revenue growth of 6.4% YoY is modest relative to the 9-12% EPS growth guidance, suggesting that earnings growth depends on margin expansion and share buybacks rather than organic topline acceleration. Insiders own only 1.12% of shares and have been net sellers, suggesting limited management conviction at current prices. The trailing P/E of 16.7x has expanded significantly from 12.8x in July 2026, reducing the valuation margin of safety. PFG's ESG and sustainability positioning, while genuine, has drawn political scrutiny in the current anti-ESG environment, creating headline risk for institutional flows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EPS guidance of 9-12% growth with Q2 adjusted EPS already up 17% YoY, supported by 200bps of margin expansion and $808B AUM base growing at 7% — execution is outpacing guidance [1]</w:t>
      </w:r>
    </w:p>
    <w:p>
      <w:pPr>
        <w:spacing w:before="40" w:after="40"/>
        <w:ind w:left="283"/>
      </w:pPr>
      <w:r>
        <w:rPr>
          <w:rFonts w:ascii="Calibri" w:hAnsi="Calibri"/>
          <w:b/>
          <w:color w:val="4A6B25"/>
          <w:sz w:val="20"/>
        </w:rPr>
        <w:t xml:space="preserve">2. </w:t>
      </w:r>
      <w:r>
        <w:rPr>
          <w:rFonts w:ascii="Calibri" w:hAnsi="Calibri"/>
          <w:b w:val="0"/>
          <w:color w:val="3A4A28"/>
          <w:sz w:val="20"/>
        </w:rPr>
        <w:t>Company-wide AI literacy program for 19,700 employees and four-pillar AI strategy under CDAO Arora positioning Principal for operational efficiency gains and competitive advantage as GenAI tools mature [2]</w:t>
      </w:r>
    </w:p>
    <w:p>
      <w:pPr>
        <w:spacing w:before="40" w:after="40"/>
        <w:ind w:left="283"/>
      </w:pPr>
      <w:r>
        <w:rPr>
          <w:rFonts w:ascii="Calibri" w:hAnsi="Calibri"/>
          <w:b/>
          <w:color w:val="4A6B25"/>
          <w:sz w:val="20"/>
        </w:rPr>
        <w:t xml:space="preserve">3. </w:t>
      </w:r>
      <w:r>
        <w:rPr>
          <w:rFonts w:ascii="Calibri" w:hAnsi="Calibri"/>
          <w:b w:val="0"/>
          <w:color w:val="3A4A28"/>
          <w:sz w:val="20"/>
        </w:rPr>
        <w:t>Active ETF and private markets product expansion driving record gross sales ($37B in Q1, +21% YoY), opening higher-fee revenue streams that can accelerate AUM growth and improve margin mix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disruption of advisory services — robo-advisors and automated retirement planning tools threaten to commoditize workplace retirement advisory where Principal generates significant fees, and larger competitors Fidelity, Vanguard, and Empower have deeper technology budgets [2]</w:t>
      </w:r>
    </w:p>
    <w:p>
      <w:pPr>
        <w:spacing w:before="40" w:after="40"/>
        <w:ind w:left="283"/>
      </w:pPr>
      <w:r>
        <w:rPr>
          <w:rFonts w:ascii="Calibri" w:hAnsi="Calibri"/>
          <w:b/>
          <w:color w:val="4A6B25"/>
          <w:sz w:val="20"/>
        </w:rPr>
        <w:t xml:space="preserve">2. </w:t>
      </w:r>
      <w:r>
        <w:rPr>
          <w:rFonts w:ascii="Calibri" w:hAnsi="Calibri"/>
          <w:b w:val="0"/>
          <w:color w:val="3A4A28"/>
          <w:sz w:val="20"/>
        </w:rPr>
        <w:t>Thin profit margins of 9.93% and ROE of 12.95% (below 15% target) leave limited buffer for underwriting losses, market downturns, or competitive fee compression in asset management [1]</w:t>
      </w:r>
    </w:p>
    <w:p>
      <w:pPr>
        <w:spacing w:before="40" w:after="40"/>
        <w:ind w:left="283"/>
      </w:pPr>
      <w:r>
        <w:rPr>
          <w:rFonts w:ascii="Calibri" w:hAnsi="Calibri"/>
          <w:b/>
          <w:color w:val="4A6B25"/>
          <w:sz w:val="20"/>
        </w:rPr>
        <w:t xml:space="preserve">3. </w:t>
      </w:r>
      <w:r>
        <w:rPr>
          <w:rFonts w:ascii="Calibri" w:hAnsi="Calibri"/>
          <w:b w:val="0"/>
          <w:color w:val="3A4A28"/>
          <w:sz w:val="20"/>
        </w:rPr>
        <w:t>Modest net insider ownership (1.12%) with net selling, combined with anti-ESG political scrutiny of sustainability commitments, creates headline risk for institutional flows and questions management's personal conviction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Principal's core businesses face differentiated but manageable AI exposure. Retirement plan administration and asset management face moderate risk from AI-powered robo-advisors and automated retirement planning tools that could commoditize advisory services [2]. However, Principal's deep employer relationships in workplace retirement (complex plan integration, ERISA compliance requirements, fiduciary obligations), regulatory barriers in insurance (Benefits and Protection), and long-term institutional client relationships create meaningful switching costs that AI cannot easily overcome. CEO Strable's proactive AI literacy program for 19,700 employees and CDAO Arora's four-pillar AI strategy demonstrate organizational readiness to adapt rather than be disrupted [2]. AI Opportunity (0/1): Principal deploys traditional AI in underwriting and is expanding GenAI capabilities company-wide, but these are internal efficiency tools rather than revenue-generating AI products. No quantified AI-specific revenue has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Principal Financial Group Q2 2026 Earnings — Adjusted EPS +17% YoY, Enterprise Earnings +13%, Net Revenue +6%, 200bps Margin Expansion, AUM $808B (+7%), $800M Capital Returned H1 2026, 9-12% FY2026 EPS Growth Guidance; Q1 2026 Record $37B Gross Sales (+21%), July 2026</w:t>
      </w:r>
    </w:p>
    <w:p>
      <w:pPr>
        <w:spacing w:before="20" w:after="20"/>
        <w:ind w:left="170"/>
      </w:pPr>
      <w:r>
        <w:rPr>
          <w:rFonts w:ascii="Calibri" w:hAnsi="Calibri"/>
          <w:b/>
          <w:color w:val="4A6B25"/>
          <w:sz w:val="15"/>
        </w:rPr>
        <w:t xml:space="preserve">2. </w:t>
      </w:r>
      <w:r>
        <w:rPr>
          <w:rFonts w:ascii="Calibri" w:hAnsi="Calibri"/>
          <w:b w:val="0"/>
          <w:color w:val="3A4A28"/>
          <w:sz w:val="17"/>
        </w:rPr>
        <w:t>Fortune/CIO — 'How Principal Financial's New CEO Brought AI Religion to the C-Suite' (November 2025); CDAO Rajesh Arora Four-Pillar AI Strategy; CIO Kathy Kay on Balancing Traditional AI and GenAI, 2025-2026</w:t>
      </w:r>
    </w:p>
    <w:p>
      <w:pPr>
        <w:spacing w:before="20" w:after="20"/>
        <w:ind w:left="170"/>
      </w:pPr>
      <w:r>
        <w:rPr>
          <w:rFonts w:ascii="Calibri" w:hAnsi="Calibri"/>
          <w:b/>
          <w:color w:val="4A6B25"/>
          <w:sz w:val="15"/>
        </w:rPr>
        <w:t xml:space="preserve">3. </w:t>
      </w:r>
      <w:r>
        <w:rPr>
          <w:rFonts w:ascii="Calibri" w:hAnsi="Calibri"/>
          <w:b w:val="0"/>
          <w:color w:val="3A4A28"/>
          <w:sz w:val="17"/>
        </w:rPr>
        <w:t>Principal Financial Group Corporate Website, Sustainability Commitments (40% GHG Reduction Achieved, Net-Zero 2050), World's Most Ethical Companies, Bloomberg Gender Equality Index — principal.com, Sustainalytics,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