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PFLT</w:t>
      </w:r>
      <w:r>
        <w:rPr>
          <w:rFonts w:ascii="Calibri" w:hAnsi="Calibri"/>
          <w:b/>
          <w:color w:val="1A2010"/>
          <w:sz w:val="40"/>
        </w:rPr>
        <w:t xml:space="preserve">  PennantPark Floating Rate Capital Ltd.</w:t>
      </w:r>
    </w:p>
    <w:p>
      <w:pPr>
        <w:spacing w:after="120"/>
      </w:pPr>
      <w:r>
        <w:rPr>
          <w:rFonts w:ascii="Calibri" w:hAnsi="Calibri"/>
          <w:b/>
          <w:color w:val="6E8450"/>
          <w:sz w:val="18"/>
        </w:rPr>
        <w:t>DIVIDEND SLEEVE · 2026-09-28 · Inspire: 26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NYSE · United States</w:t>
      </w:r>
    </w:p>
    <w:p>
      <w:pPr>
        <w:spacing w:after="80"/>
      </w:pPr>
      <w:r>
        <w:rPr>
          <w:rFonts w:ascii="Calibri" w:hAnsi="Calibri"/>
          <w:b w:val="0"/>
          <w:color w:val="3A4A28"/>
          <w:sz w:val="20"/>
        </w:rPr>
        <w:t>PennantPark Floating Rate Capital Ltd. is a business development company (BDC) that primarily invests in U.S. middle-market companies through floating-rate senior secured loans, including first lien and second lien secured debt and subordinated debt investments. Externally managed by PennantPark Investment Advisors LLC, founded by Arthur Penn. The company restructured its dividend policy in July 2026, moving to a $0.08/month base plus variable supplemental from the prior $0.1025/month flat distribution. The PSSL II joint venture commenced operations with ~$325M in assets. Market cap approximately $694M.</w:t>
      </w:r>
    </w:p>
    <w:p>
      <w:r>
        <w:rPr>
          <w:rFonts w:ascii="Calibri" w:hAnsi="Calibri"/>
          <w:b/>
          <w:color w:val="6E8450"/>
          <w:sz w:val="18"/>
        </w:rPr>
        <w:t>https://www.pennantpark.com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PennantPark Floating Rate Capital is an externally managed BDC that has operated the same floating-rate senior secured lending model since its 2011 IPO [2]. The PSSL II joint venture represents portfolio scaling, not a product launch or business model transformation. Growing assets from ~$1B to $2.6B is scaling the existing strategy, not innovating. AI Deployment (0/2): No AI products, AI-driven investment tools, or AI-enhanced underwriting have been disclosed. The company operates traditional relationship-driven credit processes [2]. Market Share (0/2): The BDC market is fragmented with over 40 publicly traded BDCs; PFLT holds no leadership position or differentiated market share in middle-market lending [2]. Product Pipeline (0/2): No next-generation products, strategies, or innovation initiatives with specific timelines have been announced. The PSSL II JV and $356.5M securitization reset are financial engineering, not strategic innovation [1]. R&amp;D Intensity (0/1): As an externally managed financial vehicle, PFLT has no R&amp;D function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PennantPark's stated purpose is to maximize returns for shareholders through strategic investments in middle-market companies — a generic financial mission indistinguishable from any peer BDC [2]. The company exists to deploy capital profitably, which is a legitimate business function but not an inspiring vision. Community Impact (0/2): No evidence of charitable programs, foundation activities, or community investment initiatives was identified [2]. Employee Retention (0/2): As an externally managed BDC, PFLT itself has no employees; it is managed by PennantPark Investment Advisors LLC. No retention data for the advisory team was found [2]. Insider Buying (1/2): A PennantPark director made a share purchase in May 2026, providing a modest signal of insider conviction, though the transaction was a single instance rather than a pattern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Financial metrics have deteriorated significantly since the prior screen as rate cuts compress floating-rate interest income. D/E of 154.7% reflects BDC-typical leverage but scores 0.63 against the 70% target [4]. ROE has declined to 4.77% (from 7.37%), and profit margin contracted to 18.53% (from 23.08%) as lower rates reduce NII [4]. Revenue growth has decelerated sharply from 15.3% to 4.1% YoY, confirming the rate headwind [4]. Forward P/E of 6.59 is attractively valued, and the 5-year revenue CAGR of ~24% remains elevated (driven by the 2022-2024 rate hike cycle). Dividend metrics weigh heavily: the GAAP-based payout ratio exceeds 100% (score 0.0), consecutive years of growth reset to 0 after the July 2026 dividend restructuring from $0.1025/month to $0.08/month base plus supplemental [1], and the 5-year dividend growth CAGR has turned negative as the current distribution ($0.96/year base) sits below levels from five years ago. The 15 consecutive years of payments (2× weight) provide partial offset.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PennantPark Floating Rate Capital is a quintessentially finite player. The company exists to generate risk-adjusted returns for investors through leveraged lending — there is no Just Cause, no vision of a future worth fighting for, and no mission beyond capital allocation. Founder Arthur Penn has provided stable 16-year leadership since inception, creating organizational continuity, but the business model has remained static since inception with no evidence of strategic adaptation or purpose-driven decision-making. The unsustainable dividend policy maintained for years before the July 2026 restructuring prioritized short-term income distribution over balance sheet strength.</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PennantPark exists to maximize shareholder returns through strategic investments — a purely financial objective with no articulated vision of a better future [2]. There is no Just Cause. The company's purpose is to deploy capital profitably, which is a legitimate business function but not an inspiring vision that invites sacrifice or contribution beyond financial returns.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As an externally managed BDC, PennantPark's team is the advisory firm staff. Founder Arthur Penn has led the firm for 16+ years since PFLT's inception, and the senior investment professionals average over 30 years of industry experience, providing leadership stability [2]. The small, experienced team structure likely fosters adequate trust. However, no specific evidence of exceptional organizational trust, employee empowerment, or cultural practices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 worthy rival mindset. BDC industry communication typically focuses on portfolio performance, yields, and credit quality relative to peers in competitive, market-share-oriented language rather than a learning-oriented competitive framework [2].</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PennantPark Floating Rate Capital has operated the same floating-rate lending model since its 2011 IPO. The portfolio has grown in size and launched the PSSL II JV, but the fundamental strategy — first lien senior secured loans to U.S. middle-market companies — has remained unchanged for 15 years [2]. The July 2026 dividend restructuring was a distribution change, not a strategic transformation.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that sacrificed short-term results for long-term capability. The company maintained an unsustainable dividend policy (payout ratio near 200% on GAAP basis) for an extended period, prioritizing short-term income distribution over balance sheet strength, before the reactive July 2026 restructuring to a lower base [1][4]. The securitization reset reducing borrowing costs was a prudent financial move but not a courageous one.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PennantPark Floating Rate Capital offers a 13.7% base dividend yield at a significant discount to NAV (stock at $6.99 vs estimated NAV of ~$10), backed by a $2.6B portfolio of floating-rate senior secured loans across middle-market companies with 99% variable-rate exposure [1][4]. Forward P/E of 6.59x provides deep value if credit quality holds, and the PSSL II joint venture with ~$325M in assets offers incremental deployment capacity. Non-accrual investments have historically remained below 1% of portfolio at cost, reflecting disciplined credit underwriting under founder Arthur Penn's 16-year leadership. The $356.5M securitization reset substantially reduced borrowing costs, improving net interest margin [1].</w:t>
      </w:r>
    </w:p>
    <w:p>
      <w:pPr>
        <w:spacing w:after="120"/>
      </w:pPr>
      <w:r>
        <w:rPr>
          <w:rFonts w:ascii="Calibri" w:hAnsi="Calibri"/>
          <w:b w:val="0"/>
          <w:color w:val="3A4A28"/>
          <w:sz w:val="20"/>
        </w:rPr>
        <w:t>The significant NAV discount reflects legitimate concerns about earnings deterioration, distribution sustainability, and rate sensitivity. Revenue growth has decelerated from 15.3% to 4.1% as rate cuts compress floating-rate interest income, and earnings have declined 60.7% — a trajectory that may worsen if rates fall further [4]. The July 2026 dividend restructuring from $0.1025/month to $0.08/month base plus variable supplemental represents a 22% base cut, acknowledging the prior distribution was unsustainable and resetting the 5-year dividend growth CAGR to negative territory [1]. D/E of 154.7% amplifies losses — $1.5B+ in debt obligations could force asset sales at distressed prices if credit markets seize or refinancing costs spike. Middle-market leveraged loan portfolios carry concentration risk in any recession-driven default cycle that would accelerate NAV erosion. As an externally managed BDC, PFLT pays management and incentive fees to PennantPark Investment Advisors regardless of stock performance, creating structural misalignment with shareholders.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Deep discount to NAV (~30%) provides margin of safety; any stabilization of credit quality, rate environment, or distribution coverage could trigger re-rating toward the estimated $10+ NAV per share [4]</w:t>
      </w:r>
    </w:p>
    <w:p>
      <w:pPr>
        <w:spacing w:before="40" w:after="40"/>
        <w:ind w:left="283"/>
      </w:pPr>
      <w:r>
        <w:rPr>
          <w:rFonts w:ascii="Calibri" w:hAnsi="Calibri"/>
          <w:b/>
          <w:color w:val="4A6B25"/>
          <w:sz w:val="20"/>
        </w:rPr>
        <w:t xml:space="preserve">2. </w:t>
      </w:r>
      <w:r>
        <w:rPr>
          <w:rFonts w:ascii="Calibri" w:hAnsi="Calibri"/>
          <w:b w:val="0"/>
          <w:color w:val="3A4A28"/>
          <w:sz w:val="20"/>
        </w:rPr>
        <w:t>PSSL II joint venture commenced operations with ~$325M in assets, providing incremental fee income and deployment capacity that could offset NII pressure from lower rates [1]</w:t>
      </w:r>
    </w:p>
    <w:p>
      <w:pPr>
        <w:spacing w:before="40" w:after="40"/>
        <w:ind w:left="283"/>
      </w:pPr>
      <w:r>
        <w:rPr>
          <w:rFonts w:ascii="Calibri" w:hAnsi="Calibri"/>
          <w:b/>
          <w:color w:val="4A6B25"/>
          <w:sz w:val="20"/>
        </w:rPr>
        <w:t xml:space="preserve">3. </w:t>
      </w:r>
      <w:r>
        <w:rPr>
          <w:rFonts w:ascii="Calibri" w:hAnsi="Calibri"/>
          <w:b w:val="0"/>
          <w:color w:val="3A4A28"/>
          <w:sz w:val="20"/>
        </w:rPr>
        <w:t>New base-plus-supplemental dividend policy provides transparency and flexibility, potentially attracting income-focused investors seeking sustainable distributions over unsustainable high yields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Earnings declining 60.7% as rate cuts compress floating-rate interest income — further rate reductions would accelerate NII erosion and could force additional distribution cuts below the $0.08/month base [4]</w:t>
      </w:r>
    </w:p>
    <w:p>
      <w:pPr>
        <w:spacing w:before="40" w:after="40"/>
        <w:ind w:left="283"/>
      </w:pPr>
      <w:r>
        <w:rPr>
          <w:rFonts w:ascii="Calibri" w:hAnsi="Calibri"/>
          <w:b/>
          <w:color w:val="4A6B25"/>
          <w:sz w:val="20"/>
        </w:rPr>
        <w:t xml:space="preserve">2. </w:t>
      </w:r>
      <w:r>
        <w:rPr>
          <w:rFonts w:ascii="Calibri" w:hAnsi="Calibri"/>
          <w:b w:val="0"/>
          <w:color w:val="3A4A28"/>
          <w:sz w:val="20"/>
        </w:rPr>
        <w:t>GAAP-based payout ratio of ~188% is unsustainable; the stock has declined significantly and any further dividend reduction would pressure the already-depressed share price and erode investor confidence [1]</w:t>
      </w:r>
    </w:p>
    <w:p>
      <w:pPr>
        <w:spacing w:before="40" w:after="40"/>
        <w:ind w:left="283"/>
      </w:pPr>
      <w:r>
        <w:rPr>
          <w:rFonts w:ascii="Calibri" w:hAnsi="Calibri"/>
          <w:b/>
          <w:color w:val="4A6B25"/>
          <w:sz w:val="20"/>
        </w:rPr>
        <w:t xml:space="preserve">3. </w:t>
      </w:r>
      <w:r>
        <w:rPr>
          <w:rFonts w:ascii="Calibri" w:hAnsi="Calibri"/>
          <w:b w:val="0"/>
          <w:color w:val="3A4A28"/>
          <w:sz w:val="20"/>
        </w:rPr>
        <w:t>D/E of 154.7% amplifies credit losses; $1.5B+ in debt obligations and externally managed fee structure create structural risks that could accelerate NAV erosion in a middle-market default cycle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PennantPark's core business of originating and managing middle-market loans relies on relationship-driven credit underwriting, due diligence, and portfolio monitoring — functions requiring human judgment and trusted borrower relationships that AI cannot fully replicate [2]. The BDC structure (a regulated investment vehicle) is protected by regulatory requirements and capital allocation expertise. However, AI-powered credit scoring and automated lending platforms from fintech competitors could gradually compress spreads in the middle-market lending space by improving risk assessment and reducing origination costs. The threat is moderate — AI enhances rather than replaces the need for capital, but AI-native competitors could emerge as more efficient lenders. AI Opportunity (0/1): PFLT generates no revenue from AI products or services and has not disclosed any AI-driven investment tools or AI-related revenue streams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PennantPark Floating Rate Capital Earnings Releases / SEC Filings — FY2025 revenue $261.4M (+40.3%), Q4 EPS $0.31, July 2026 dividend restructuring to $0.08/month base + supplemental, PSSL II JV $325M assets, $356.5M securitization reset, 2025-2026</w:t>
      </w:r>
    </w:p>
    <w:p>
      <w:pPr>
        <w:spacing w:before="20" w:after="20"/>
        <w:ind w:left="170"/>
      </w:pPr>
      <w:r>
        <w:rPr>
          <w:rFonts w:ascii="Calibri" w:hAnsi="Calibri"/>
          <w:b/>
          <w:color w:val="4A6B25"/>
          <w:sz w:val="15"/>
        </w:rPr>
        <w:t xml:space="preserve">2. </w:t>
      </w:r>
      <w:r>
        <w:rPr>
          <w:rFonts w:ascii="Calibri" w:hAnsi="Calibri"/>
          <w:b w:val="0"/>
          <w:color w:val="3A4A28"/>
          <w:sz w:val="17"/>
        </w:rPr>
        <w:t>PennantPark Corporate Profile and Leadership — Founder/CEO Arthur Penn (since 2010, 30+ years experience), externally managed BDC, middle-market floating rate focus, pennantpark.com,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StockAnalysis.com / Yahoo Finance — PFLT Key Statistics and Financial Data,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Seeking Alpha — PFLT: Forward P/E 6.59x, D/E 154.72%, ROE 4.77%, Profit Margin 18.53%, Stock Price $6.99, 15% Yield at 23% NAV Discount,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