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PGEN</w:t>
      </w:r>
      <w:r>
        <w:rPr>
          <w:rFonts w:ascii="Calibri" w:hAnsi="Calibri"/>
          <w:b/>
          <w:color w:val="1A2010"/>
          <w:sz w:val="40"/>
        </w:rPr>
        <w:t xml:space="preserve">  Precigen, Inc.</w:t>
      </w:r>
    </w:p>
    <w:p>
      <w:pPr>
        <w:spacing w:after="120"/>
      </w:pPr>
      <w:r>
        <w:rPr>
          <w:rFonts w:ascii="Calibri" w:hAnsi="Calibri"/>
          <w:b/>
          <w:color w:val="6E8450"/>
          <w:sz w:val="18"/>
        </w:rPr>
        <w:t>GROWTH SLEEVE · 2026-08-30 · Inspire: 46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56</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Precigen is a biopharmaceutical company focused on gene and cell therapies for patients with significant unmet medical needs. Lead commercial product PAPZIMEOS (zopapogene imadenovec-drba) received full FDA approval in August 2025 as the first and only approved therapy for adult recurrent respiratory papillomatosis (RRP). Q2 2026 revenue surged to $55M with PAPZIMEOS revenue of $53.1M (up 145% sequentially), achieving net income of $20.1M — quarterly profitability less than a year post-approval. Pipeline includes pediatric RRP trial planned Q4 2026, European MAA under review, and PRGN-2009 Phase 2 in HPV-associated cancers. Received orphan drug exclusivity May 2026.</w:t>
      </w:r>
    </w:p>
    <w:p>
      <w:r>
        <w:rPr>
          <w:rFonts w:ascii="Calibri" w:hAnsi="Calibri"/>
          <w:b/>
          <w:color w:val="6E8450"/>
          <w:sz w:val="18"/>
        </w:rPr>
        <w:t>160 Employees · https://precigen.com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Precigen achieved full FDA approval of PAPZIMEOS in just 4 years from clinic to approval — an unprecedented timeline for gene therapy [1]. Q2 2026 PAPZIMEOS revenue surged 145% sequentially to $53.1M, driving $55M total revenue and $20.1M net income — quarterly profitability less than a year post-approval [1]. The company transformed from a diversified synthetic biology conglomerate (Intrexon) into a focused gene therapy company with a blockbuster commercial product. AI Deployment (1/2): Precigen is using AI-generated compounds from its Enki platform to demonstrate high-potency ATR inhibition, accelerating drug discovery through generative AI [2]. The CCO discussed how AI combined with human interaction is transforming rare disease marketing, with AI deployed in the latest ad campaign. These represent early but measurable AI applications in both R&amp;D and commercialization. Market Share (1/2): PAPZIMEOS holds a first-mover monopoly in RRP with orphan drug exclusivity granted May 2026 and 215M covered U.S. lives — no approved competitors exist for this indication [1]. However, RRP is a niche orphan disease limiting total addressable market. Product Pipeline (2/2): Specific next-gen programs with timelines: pediatric RRP clinical trial planned Q4 2026, European MAA under regulatory review for market expansion, PAPZIMEOS redosing study actively enrolling, and PRGN-2009 Phase 2 in HPV-associated oropharyngeal and cervical cancers [1][4]. R&amp;D Intensity (1/1): R&amp;D spending represents ~24% of revenue, well above biotech industry average, reflecting sustained pipeline investment alongside commercialization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Precigen's vision is to 'develop life-saving and cost-conscious therapies utilizing cutting-edge therapeutic and platform technologies for patients with unmet medical need' [2]. The focus on RRP — a rare, debilitating disease with no prior approved treatment — adds authenticity. Core principles of Fiscal Strength, Active Portfolio Management, and Rapid Execution are distinctive for a biotech. However, the mission is not deeply unique among clinical-stage biotechs and has not been validated through decades of execution. Community Impact (1/2): PAPZIMEOS directly serves the RRP patient community, providing the first-ever approved therapy for a devastating rare disease that previously had only palliative treatment [1]. This represents genuine medical impact on an underserved population. No broader charitable programs identified. Employee Retention (0/2): Only 160 employees with no public retention data available. The small team size means any cultural issues have outsized impact on execution. CEO Helen Sabzevari has led since January 2020 (6.5-year tenure), providing leadership continuity [2]. Insider Buying (0/2): CEO Helen Sabzevari sold $519,930 in company stock in 2026, representing net insider selling rather than buying [2]. No evidence of meaningful net insider buying by current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Revenue inflection is dramatic — Q2 2026 total revenue reached $55M (up from $0.9M a year prior) with PAPZIMEOS revenue of $53.1M growing 145% sequentially [1]. The company achieved net income of $20.1M in Q2 and expects cash flow breakeven by year-end 2026. H1 2026 net income of $12.1M ($0.03/share) vs. net loss of $80.8M (-$0.27/share) in H1 2025 demonstrates transformational improvement [1]. D/E of 226% reflects $93.5M in long-term debt (score 0.32). ROE remains negative (score 0.0 with 2x weight). Revenue growth YoY exceeds 1000% from near-zero base (score 1.0). Estimated forward P/E of ~40 based on annualized profitability trajectory (score 0.50). H1 profit margin of 15.5% is approaching targets (score 0.75). Weighted sum: 2.57/6 = infrastructure score of 4. Liquidity floor cleared: 4.77M avg volume x $6.13 = $29.2M daily.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Precigen demonstrates infinite game elements through the transformative Intrexon-to-Precigen pivot and CEO Sabzevari's 6.5-year commitment to rare disease patients. The decision to focus on a niche RRP market over larger indications reflects purpose over pure profit maximization. However, the CEO's insider selling during the commercial launch phase, the company's multiple identity changes, and the narrow single-product dependency suggest tension between long-term vision and near-term pressures that Sinek would flag.</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Precigen's purpose of developing gene therapies for patients with unmet medical needs is genuine — PAPZIMEOS provides the first-ever approved treatment for adult RRP [1]. However, the cause is standard biotech positioning that most peers articulate similarly, and the company's multiple identity changes (Intrexon to Precigen) suggest the cause hasn't consistently shaped organizational identity. At 6 years in current form, the cause has not been validated through decades of execution.</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Helen Sabzevari has led Precigen since January 2020 with 6.5-year tenure, having joined in 2017 as subsidiary president — demonstrating meaningful leadership continuity through the company's most critical phase from clinical development to commercial launch [2]. The 160-employee team enables direct CEO engagement. Core principles of Fiscal Strength, Active Portfolio Management, and Rapid Execution suggest a focused organizational culture. However, no specific retention or tenure data is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Precigen operates with a first-mover monopoly in RRP gene therapy with orphan drug exclusivity and no direct competitors [1]. Competitive language emphasizes proprietary platform advantages (AdenoVerse) and market exclusivity rather than learning from rivals. No evidence of management acknowledging competitors' strengths or using competitive dynamics for self-improvement.</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transformation from Intrexon Corporation — a diversified synthetic biology conglomerate spanning healthcare, agriculture, and industrial applications — to Precigen, a focused gene therapy company, represents a genuine existential pivot [2]. The company divested multiple business units, changed its name, fundamentally redefined its strategic direction, and concentrated on its strongest therapeutic opportunities. PAPZIMEOS's FDA approval and rapid commercial success validated this transformative decision.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CEO Sabzevari chose to focus on the niche RRP market rather than pivoting to larger, more crowded therapeutic areas — prioritizing patient need and first-mover advantage over revenue maximization [1]. The company completed the BLA submission in just 4 years from clinic to approval, demonstrating rapid execution courage. However, CEO Sabzevari's $519,930 stock sale during the critical commercial launch phase and the absence of insider buying from other executives undermine leadership conviction signaling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Precigen delivered a breakout Q2 2026 with PAPZIMEOS revenue surging 145% sequentially to $53.1M, driving $55M total revenue and $20.1M net income — achieving quarterly profitability less than a year post-FDA approval [1]. H1 2026 net income of $12.1M ($0.03/share) versus a $80.8M loss (-$0.27/share) in H1 2025 demonstrates transformational financial improvement. The company expects cash flow breakeven by year-end 2026, with orphan drug exclusivity (granted May 2026) providing multi-year competitive protection [1]. At $2.59B market cap with a first-in-class gene therapy monopoly in RRP and a 295% stock appreciation over the past year, Precigen offers continued upside if PAPZIMEOS adoption accelerates and pipeline programs (pediatric RRP Q4 2026, European MAA, PRGN-2009 Phase 2) expand the addressable market [1][4].</w:t>
      </w:r>
    </w:p>
    <w:p>
      <w:pPr>
        <w:spacing w:after="120"/>
      </w:pPr>
      <w:r>
        <w:rPr>
          <w:rFonts w:ascii="Calibri" w:hAnsi="Calibri"/>
          <w:b w:val="0"/>
          <w:color w:val="3A4A28"/>
          <w:sz w:val="20"/>
        </w:rPr>
        <w:t>The bear case centers on single-product concentration risk and uncertain long-term revenue ceiling. Despite the revenue surge, PAPZIMEOS addresses a niche orphan disease with limited peak revenue potential — the entire adult RRP market may cap out at $300-500M annually [1]. D/E of 226% reflects $93.5M in long-term debt against a company still proving sustained profitability, and the stock has already appreciated 295% in 52 weeks, pricing in significant future success. CEO Sabzevari's $519,930 stock sale during the launch phase raises questions about insider conviction [2]. Forward P/E of approximately 40x on annualized earnings requires sustained revenue acceleration to justify. Long-term growth depends entirely on unproven pipeline programs (PRGN-2009 in HPV cancers, AdenoVerse platform) and geographic expansion (European MAA), any of which could disappoint. The biotech sector's inherent binary clinical risk means a single pipeline setback could compress the multiple severely.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PAPZIMEOS revenue trajectory accelerating beyond $53.1M quarterly run rate as physician adoption broadens across 215M covered lives, with management targeting cash flow breakeven by year-end 2026 [1]</w:t>
      </w:r>
    </w:p>
    <w:p>
      <w:pPr>
        <w:spacing w:before="40" w:after="40"/>
        <w:ind w:left="283"/>
      </w:pPr>
      <w:r>
        <w:rPr>
          <w:rFonts w:ascii="Calibri" w:hAnsi="Calibri"/>
          <w:b/>
          <w:color w:val="4A6B25"/>
          <w:sz w:val="20"/>
        </w:rPr>
        <w:t xml:space="preserve">2. </w:t>
      </w:r>
      <w:r>
        <w:rPr>
          <w:rFonts w:ascii="Calibri" w:hAnsi="Calibri"/>
          <w:b w:val="0"/>
          <w:color w:val="3A4A28"/>
          <w:sz w:val="20"/>
        </w:rPr>
        <w:t>Pediatric RRP clinical trial initiation in Q4 2026 and European MAA regulatory decision could double the addressable patient population beyond adult U.S. RRP [1][4]</w:t>
      </w:r>
    </w:p>
    <w:p>
      <w:pPr>
        <w:spacing w:before="40" w:after="40"/>
        <w:ind w:left="283"/>
      </w:pPr>
      <w:r>
        <w:rPr>
          <w:rFonts w:ascii="Calibri" w:hAnsi="Calibri"/>
          <w:b/>
          <w:color w:val="4A6B25"/>
          <w:sz w:val="20"/>
        </w:rPr>
        <w:t xml:space="preserve">3. </w:t>
      </w:r>
      <w:r>
        <w:rPr>
          <w:rFonts w:ascii="Calibri" w:hAnsi="Calibri"/>
          <w:b w:val="0"/>
          <w:color w:val="3A4A28"/>
          <w:sz w:val="20"/>
        </w:rPr>
        <w:t>PRGN-2009 Phase 2 data in HPV-associated cancers and broader AdenoVerse portfolio updates could transform Precigen from a single-product biotech into a multi-asset gene therapy platform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Single-product concentration — PAPZIMEOS accounted for 96.5% of Q2 2026 revenue ($53.1M of $55M), leaving the company entirely dependent on one orphan drug with limited peak revenue ceiling in a niche RRP market [1]</w:t>
      </w:r>
    </w:p>
    <w:p>
      <w:pPr>
        <w:spacing w:before="40" w:after="40"/>
        <w:ind w:left="283"/>
      </w:pPr>
      <w:r>
        <w:rPr>
          <w:rFonts w:ascii="Calibri" w:hAnsi="Calibri"/>
          <w:b/>
          <w:color w:val="4A6B25"/>
          <w:sz w:val="20"/>
        </w:rPr>
        <w:t xml:space="preserve">2. </w:t>
      </w:r>
      <w:r>
        <w:rPr>
          <w:rFonts w:ascii="Calibri" w:hAnsi="Calibri"/>
          <w:b w:val="0"/>
          <w:color w:val="3A4A28"/>
          <w:sz w:val="20"/>
        </w:rPr>
        <w:t>CEO Helen Sabzevari sold $519,930 in stock during the critical commercial launch phase, and no other executive demonstrated meaningful insider buying — undermining management conviction narrative at elevated valuations [2]</w:t>
      </w:r>
    </w:p>
    <w:p>
      <w:pPr>
        <w:spacing w:before="40" w:after="40"/>
        <w:ind w:left="283"/>
      </w:pPr>
      <w:r>
        <w:rPr>
          <w:rFonts w:ascii="Calibri" w:hAnsi="Calibri"/>
          <w:b/>
          <w:color w:val="4A6B25"/>
          <w:sz w:val="20"/>
        </w:rPr>
        <w:t xml:space="preserve">3. </w:t>
      </w:r>
      <w:r>
        <w:rPr>
          <w:rFonts w:ascii="Calibri" w:hAnsi="Calibri"/>
          <w:b w:val="0"/>
          <w:color w:val="3A4A28"/>
          <w:sz w:val="20"/>
        </w:rPr>
        <w:t>D/E of 226% ($93.5M long-term debt) against a company with only two quarters of profitability creates financial fragility if PAPZIMEOS adoption plateaus or reimbursement challenges emerge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Gene therapy development and commercialization is a deeply physical, FDA-regulated process that AI structurally cannot displace [1]. PAPZIMEOS involves manufacturing adenoviral vectors and administering gene therapy in clinical settings — a hospital-based procedure requiring specialized biologics manufacturing, cold chain logistics, and physician administration. Orphan drug exclusivity, FDA Biologics License Application protections, and 4-year clinical development timelines create regulatory moats impervious to AI disruption. AI may modestly accelerate competitor discovery timelines, but the clinical trial, manufacturing, and regulatory approval process remains a multi-year physical-world barrier that AI cannot circumvent. AI Opportunity (1/1): Precigen's Enki platform uses AI-generated compounds for drug discovery (demonstrating high-potency ATR inhibition), and the company deploys AI in rare disease marketing and commercial operations [2]. These represent early-stage but measurable AI revenue contributions to the business.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46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Precigen Q2 2026 Earnings Release — Total Revenue $55M, PAPZIMEOS Revenue $53.1M (+145% Sequential), Net Income $20.1M, Orphan Drug Exclusivity Granted May 2026 — PR Newswire, Yahoo Finance, August 2026</w:t>
      </w:r>
    </w:p>
    <w:p>
      <w:pPr>
        <w:spacing w:before="20" w:after="20"/>
        <w:ind w:left="170"/>
      </w:pPr>
      <w:r>
        <w:rPr>
          <w:rFonts w:ascii="Calibri" w:hAnsi="Calibri"/>
          <w:b/>
          <w:color w:val="4A6B25"/>
          <w:sz w:val="15"/>
        </w:rPr>
        <w:t xml:space="preserve">2. </w:t>
      </w:r>
      <w:r>
        <w:rPr>
          <w:rFonts w:ascii="Calibri" w:hAnsi="Calibri"/>
          <w:b w:val="0"/>
          <w:color w:val="3A4A28"/>
          <w:sz w:val="17"/>
        </w:rPr>
        <w:t>Precigen CEO Helen Sabzevari Profile, AI/Enki Platform, Insider Trading — $519,930 Stock Sale, Mission and Core Principles — Investing.com, LinkedIn, precigen.com, 2026</w:t>
      </w:r>
    </w:p>
    <w:p>
      <w:pPr>
        <w:spacing w:before="20" w:after="20"/>
        <w:ind w:left="170"/>
      </w:pPr>
      <w:r>
        <w:rPr>
          <w:rFonts w:ascii="Calibri" w:hAnsi="Calibri"/>
          <w:b/>
          <w:color w:val="4A6B25"/>
          <w:sz w:val="15"/>
        </w:rPr>
        <w:t xml:space="preserve">3. </w:t>
      </w:r>
      <w:r>
        <w:rPr>
          <w:rFonts w:ascii="Calibri" w:hAnsi="Calibri"/>
          <w:b w:val="0"/>
          <w:color w:val="3A4A28"/>
          <w:sz w:val="17"/>
        </w:rPr>
        <w:t>Precigen ESG Profile and Governance — No Major ESG Controversies Identified — SEC Filings, 2026</w:t>
      </w:r>
    </w:p>
    <w:p>
      <w:pPr>
        <w:spacing w:before="20" w:after="20"/>
        <w:ind w:left="170"/>
      </w:pPr>
      <w:r>
        <w:rPr>
          <w:rFonts w:ascii="Calibri" w:hAnsi="Calibri"/>
          <w:b/>
          <w:color w:val="4A6B25"/>
          <w:sz w:val="15"/>
        </w:rPr>
        <w:t xml:space="preserve">4. </w:t>
      </w:r>
      <w:r>
        <w:rPr>
          <w:rFonts w:ascii="Calibri" w:hAnsi="Calibri"/>
          <w:b w:val="0"/>
          <w:color w:val="3A4A28"/>
          <w:sz w:val="17"/>
        </w:rPr>
        <w:t>Precigen Pipeline — Pediatric RRP Trial Q4 2026, European MAA Under Review, PRGN-2009 Phase 2, AdenoVerse Platform — investors.precigen.com, PR Newswire,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