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PGR</w:t>
      </w:r>
      <w:r>
        <w:rPr>
          <w:rFonts w:ascii="Calibri" w:hAnsi="Calibri"/>
          <w:b/>
          <w:color w:val="1A2010"/>
          <w:sz w:val="40"/>
        </w:rPr>
        <w:t xml:space="preserve">  The Progressive Corporation</w:t>
      </w:r>
    </w:p>
    <w:p>
      <w:pPr>
        <w:spacing w:after="120"/>
      </w:pPr>
      <w:r>
        <w:rPr>
          <w:rFonts w:ascii="Calibri" w:hAnsi="Calibri"/>
          <w:b/>
          <w:color w:val="6E8450"/>
          <w:sz w:val="18"/>
        </w:rPr>
        <w:t>DIVIDEND SLEEVE · 2026-09-01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Property &amp; Casualty Insurance · NYSE · United States</w:t>
      </w:r>
    </w:p>
    <w:p>
      <w:pPr>
        <w:spacing w:after="80"/>
      </w:pPr>
      <w:r>
        <w:rPr>
          <w:rFonts w:ascii="Calibri" w:hAnsi="Calibri"/>
          <w:b w:val="0"/>
          <w:color w:val="3A4A28"/>
          <w:sz w:val="20"/>
        </w:rPr>
        <w:t>The Progressive Corporation is the third-largest auto insurer in the United States with ~18.6% private passenger auto market share. The company writes personal auto, special lines (motorcycles, RVs, watercraft), homeowners, renters, commercial auto, and small business insurance. Progressive is known for its data-driven pricing, Snapshot telematics program, and direct-to-consumer distribution model. Founded in 1937 and headquartered in Mayfield Village, Ohio.</w:t>
      </w:r>
    </w:p>
    <w:p>
      <w:r>
        <w:rPr>
          <w:rFonts w:ascii="Calibri" w:hAnsi="Calibri"/>
          <w:b/>
          <w:color w:val="6E8450"/>
          <w:sz w:val="18"/>
        </w:rPr>
        <w:t>70,053 Employees · https://www.progressive.com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Progressive expanded personal auto market share to 18.6% in Q1 2026, a significant year-over-year gain, while deepening its multi-line offering across homeowners, renters, and commercial auto through bundled product strategies [1]. The Business Innovation Garage (BIG) serves as an internal think-tank prototyping new products, though no single transformative pivot has redefined the company in the last five years — growth has come from relentless execution of the existing model. AI Deployment (2/2): Progressive's four-step data flywheel — cultivating data, hiring data-literate talent, mining insights, and building AI-driven products — has been operating for over two decades with measurable results: Snapshot telematics enables individualized pricing, and AI-driven underwriting models sustain a combined ratio of 86.4% against a 4% underwriting margin target [1][3]. Market Share (2/2): Progressive holds 18.6% of the US personal auto insurance market with specific share gains year-over-year, making it one of the top three P&amp;C insurers nationally alongside State Farm and GEICO [1]. Product Pipeline (1/2): Continued expansion into homeowners and bundled products is underway, but no specific next-generation product launches with defined timelines have been announced. R&amp;D Intensity (1/1): While insurance companies do not report R&amp;D as a line item, Progressive's sustained investment in data infrastructure, the BIG innovation lab, and telematics technology places it well above insurance industry peers in technology spending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Progressive's purpose centers on making insurance as easy and affordable as possible — a clear articulation of who they serve and why, demonstrated through innovations like showing competitor rates and usage-based pricing. However, the mission is functional rather than transformative; it identifies a better customer experience rather than a vision of a fundamentally different future. Community Impact (1/2): Progressive operates employee volunteer programs and community initiatives, but specific dollar amounts for charitable giving and foundation activity were not identified in public reporting [4]. Employee Retention (1/2): CEO Tricia Griffith joined Progressive as a claims representative in 1988 and rose to CEO in 2016 — a 38-year tenure exemplifying a strong promote-from-within culture [6]. Progressive has appeared on Fortune's Best Companies to Work For lists, though specific tenure or turnover data is not publicly disclosed. Insider Buying (0/2): No meaningful net insider buying by executives was identified in the last 12 months; the company repurchased 2.3 million shares for $478 million at the corporate level, but this is a buyback program, not personal insider purchasing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Progressive delivered Q1 2026 revenue of $23.6B (up 8.7% YoY) with total company PIFs surpassing 40 million and personal auto market share at 18.6% [1]. D/E of 24% reflects conservative leverage, well below the 70% target (score 1.0). ROE of 34.94% far exceeds the 15% target (score 1.0). Forward P/E of 13.43x is comfortably below the 20 target (score 1.0). The 5-year revenue CAGR of approximately 15% exceeds the 10% target (score 1.0). Profit margin of 12.85% is moderate for insurance, scoring 0.64. Revenue growth YoY of 8.7% scores 0.96. Dividend metrics mixed: payout ratio ~72% scores 0.47, consecutive years paid ~25 scores 1.0 (2x weight), consecutive years growth of 3 scores 0.30. Weighted sum 8.37/10 = score 8. Liquidity floor easily cleared: 4.76M avg vol x $217.74 = $1.04B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Progressive demonstrates many characteristics of an infinite game player — a consistent consumer-focused purpose maintained since 1937, willingness to pioneer industry firsts (rate comparison, usage-based insurance), and leadership stability under Tricia Griffith's 38-year tenure. However, the company's dominant competitive framing around market share gains and combined ratio targets reflects some finite game optimization, and the mission, while genuine, is functional rather than the transformative Just Cause Sinek would hold up as exemplary.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Progressive's purpose of making insurance accessible and affordable has been consistently executed for nearly 90 years and has driven genuinely innovative strategic decisions — being the first insurer to show competitor rates, launching usage-based insurance, and investing in data infrastructure decades before 'big data' was a trend [3][6]. The purpose survived multiple CEO transitions and shaped product strategy. However, 'affordable insurance' is a functional goal rather than a vision of a fundamentally different future — it lacks the idealistic quality Sinek requires for a full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Tricia Griffith's 38-year journey from claims representative to CEO demonstrates a promote-from-within culture that builds institutional trust [6]. Griffith emphasizes employee engagement as a driver of business results and encourages leaders to engage in 'uncomfortable conversations,' suggesting psychological safety. Progressive has appeared on Fortune's Best Companies lists. However, no specific data on voluntary turnover or average tenure was identified beyond general corporate reporting.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Progressive explicitly acknowledges competitive dynamics with State Farm and GEICO, using competitive pressure to improve its own pricing, distribution, and technology capabilities [1]. The company's focus on gaining market share through better data science and customer experience rather than price wars demonstrates an infinite competitive mindset. Progressive's willingness to show competitor rates on its own website is a tangible demonstration of respect for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Progressive has evolved from a niche auto insurer to the third-largest US auto insurer, expanded into homeowners, renters, and commercial insurance, and pioneered telematics-based pricing with Snapshot [3]. These represent meaningful strategic evolution over decades, though the core business model — underwriting P&amp;C insurance — has remained consistent since 1937. The changes were incremental expansions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Progressive showed courage in being the first major insurer to display competitor rates alongside its own — a decision that risked losing price-sensitive customers but built long-term trust. The company's strict adherence to a 4% underwriting margin target means walking away from underpriced business that competitors write, sacrificing near-term volume for long-term profitability [1]. However, with $87.6B in TTM revenue and a market-leading position, these decisions carry relatively low existential risk for a company of this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Progressive delivered Q1 2026 revenue of $23.6B (up 8.7% YoY) while growing total policies in force past 40 million and expanding personal auto market share to 18.6% [1]. In Q1, Progressive grew direct written premiums by $1.3B while the remaining top-19 auto carriers lost a combined $1.3B — a stark illustration of competitive dominance [1]. The company's 20-year data and AI moat — built through Snapshot telematics, the four-step data flywheel, and the Business Innovation Garage — creates a structural pricing advantage that compounds with scale, delivering 9% more accurate risk pricing than traditional models [3]. At a forward P/E of 13.43x with 34.94% ROE, Progressive offers a rare combination of growth, profitability, and reasonable valuation in the large-cap insurance space. The variable dividend structure provides meaningful income in strong underwriting years while the company simultaneously repurchased $478M in shares [5].</w:t>
      </w:r>
    </w:p>
    <w:p>
      <w:pPr>
        <w:spacing w:after="120"/>
      </w:pPr>
      <w:r>
        <w:rPr>
          <w:rFonts w:ascii="Calibri" w:hAnsi="Calibri"/>
          <w:b w:val="0"/>
          <w:color w:val="3A4A28"/>
          <w:sz w:val="20"/>
        </w:rPr>
        <w:t>The primary concern is the sustainability of the current underwriting supercycle. Trailing EPS of ~$20.74 is expected to normalize to $16.21 in FY2026 (-21.8%), suggesting the current earnings level represents a cyclical peak rather than a new baseline [1]. A return to the 95-96% combined ratios of prior soft markets would compress earnings further. The variable dividend structure means income is unreliable; in a poor underwriting year, the annual variable dividend ($13.50 in January 2026, constituting ~97% of total dividends) could be cut significantly or eliminated entirely. Revenue growth decelerated from 16%+ in full-year 2025 to 8.7% in Q1 2026, suggesting the post-COVID auto insurance repricing cycle is maturing. BofA analysis flags $15B of insurance industry revenue at risk from AI-enabled agent disintermediation — Progressive paid $6B to independent agents in 2025, though its strong direct channel mitigates this [3]. Long-term autonomous vehicle adoption could structurally shrink the auto insurance premium pool, though this remains a 10+ year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personal auto market share expansion above 18.6% as Progressive's data-driven pricing advantage widens against competitors lagging in telematics and AI adoption</w:t>
      </w:r>
    </w:p>
    <w:p>
      <w:pPr>
        <w:spacing w:before="40" w:after="40"/>
        <w:ind w:left="283"/>
      </w:pPr>
      <w:r>
        <w:rPr>
          <w:rFonts w:ascii="Calibri" w:hAnsi="Calibri"/>
          <w:b/>
          <w:color w:val="4A6B25"/>
          <w:sz w:val="20"/>
        </w:rPr>
        <w:t xml:space="preserve">2. </w:t>
      </w:r>
      <w:r>
        <w:rPr>
          <w:rFonts w:ascii="Calibri" w:hAnsi="Calibri"/>
          <w:b w:val="0"/>
          <w:color w:val="3A4A28"/>
          <w:sz w:val="20"/>
        </w:rPr>
        <w:t>May 2026 net income surge of 36% YoY to $1.445B suggests accelerating profitability momentum that could drive upward earnings revisions and support another large variable dividend in 2027</w:t>
      </w:r>
    </w:p>
    <w:p>
      <w:pPr>
        <w:spacing w:before="40" w:after="40"/>
        <w:ind w:left="283"/>
      </w:pPr>
      <w:r>
        <w:rPr>
          <w:rFonts w:ascii="Calibri" w:hAnsi="Calibri"/>
          <w:b/>
          <w:color w:val="4A6B25"/>
          <w:sz w:val="20"/>
        </w:rPr>
        <w:t xml:space="preserve">3. </w:t>
      </w:r>
      <w:r>
        <w:rPr>
          <w:rFonts w:ascii="Calibri" w:hAnsi="Calibri"/>
          <w:b w:val="0"/>
          <w:color w:val="3A4A28"/>
          <w:sz w:val="20"/>
        </w:rPr>
        <w:t>Homeowners and commercial insurance expansion leveraging existing distribution infrastructure and data capabilities, with bundled products improving customer retention and lifetime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Underwriting cycle reversion — the current 13.6% underwriting margin is historically elevated, and normalization to the 4% target would reduce net income by approximately 70%, compressing the variable dividend and stock price simultaneously</w:t>
      </w:r>
    </w:p>
    <w:p>
      <w:pPr>
        <w:spacing w:before="40" w:after="40"/>
        <w:ind w:left="283"/>
      </w:pPr>
      <w:r>
        <w:rPr>
          <w:rFonts w:ascii="Calibri" w:hAnsi="Calibri"/>
          <w:b/>
          <w:color w:val="4A6B25"/>
          <w:sz w:val="20"/>
        </w:rPr>
        <w:t xml:space="preserve">2. </w:t>
      </w:r>
      <w:r>
        <w:rPr>
          <w:rFonts w:ascii="Calibri" w:hAnsi="Calibri"/>
          <w:b w:val="0"/>
          <w:color w:val="3A4A28"/>
          <w:sz w:val="20"/>
        </w:rPr>
        <w:t>The $13.50 annual variable dividend (constituting ~97% of total dividend payments) is discretionary and could be cut to zero in a catastrophe-heavy year, making the 6.6% yield misleading for income-oriented investors</w:t>
      </w:r>
    </w:p>
    <w:p>
      <w:pPr>
        <w:spacing w:before="40" w:after="40"/>
        <w:ind w:left="283"/>
      </w:pPr>
      <w:r>
        <w:rPr>
          <w:rFonts w:ascii="Calibri" w:hAnsi="Calibri"/>
          <w:b/>
          <w:color w:val="4A6B25"/>
          <w:sz w:val="20"/>
        </w:rPr>
        <w:t xml:space="preserve">3. </w:t>
      </w:r>
      <w:r>
        <w:rPr>
          <w:rFonts w:ascii="Calibri" w:hAnsi="Calibri"/>
          <w:b w:val="0"/>
          <w:color w:val="3A4A28"/>
          <w:sz w:val="20"/>
        </w:rPr>
        <w:t>Auto claims severity inflation driven by rising vehicle repair costs (advanced driver-assistance systems, EV battery repairs) and medical cost inflation could erode pricing adequacy faster than Progressive can reprice its book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is a deeply regulated, capital-intensive industry that AI cannot displace — underwriting requires state-by-state regulatory compliance, massive loss reserves, decades-long actuarial tail risk, and physical claims adjustment that AI alone cannot perform [3]. Progressive's 20-year data moat and proprietary telematics dataset create structural advantages that AI-native entrants cannot replicate without comparable scale and regulatory infrastructure. Analysts view Progressive as an AI beneficiary rather than a victim, as the company's data flywheel model positions it to leverage AI for superior pricing accuracy and claims efficiency. The primary AI risk is that competitors adopt similar AI capabilities to narrow Progressive's pricing advantage, but the first-mover data advantage provides meaningful protection. AI Opportunity (1/1): Progressive generates substantial AI-derived value through Snapshot telematics-based pricing, AI-driven underwriting models sustaining an 86.4% combined ratio, and automated claims processing — quantifiable contributions to industry-leading profitability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Progressive Q1 2026 10-Q and Earnings Release — stocktitan.net, April 2026</w:t>
      </w:r>
    </w:p>
    <w:p>
      <w:pPr>
        <w:spacing w:before="20" w:after="20"/>
        <w:ind w:left="170"/>
      </w:pPr>
      <w:r>
        <w:rPr>
          <w:rFonts w:ascii="Calibri" w:hAnsi="Calibri"/>
          <w:b/>
          <w:color w:val="4A6B25"/>
          <w:sz w:val="15"/>
        </w:rPr>
        <w:t xml:space="preserve">2. </w:t>
      </w:r>
      <w:r>
        <w:rPr>
          <w:rFonts w:ascii="Calibri" w:hAnsi="Calibri"/>
          <w:b w:val="0"/>
          <w:color w:val="3A4A28"/>
          <w:sz w:val="17"/>
        </w:rPr>
        <w:t>Progressive Corporation May 2026 Monthly Financial Results — Quiver Quantitative, June 2026</w:t>
      </w:r>
    </w:p>
    <w:p>
      <w:pPr>
        <w:spacing w:before="20" w:after="20"/>
        <w:ind w:left="170"/>
      </w:pPr>
      <w:r>
        <w:rPr>
          <w:rFonts w:ascii="Calibri" w:hAnsi="Calibri"/>
          <w:b/>
          <w:color w:val="4A6B25"/>
          <w:sz w:val="15"/>
        </w:rPr>
        <w:t xml:space="preserve">3. </w:t>
      </w:r>
      <w:r>
        <w:rPr>
          <w:rFonts w:ascii="Calibri" w:hAnsi="Calibri"/>
          <w:b w:val="0"/>
          <w:color w:val="3A4A28"/>
          <w:sz w:val="17"/>
        </w:rPr>
        <w:t>Progressive AI Strategy: Analysis of Dominance in Insurance AI — Klover.ai, 2026</w:t>
      </w:r>
    </w:p>
    <w:p>
      <w:pPr>
        <w:spacing w:before="20" w:after="20"/>
        <w:ind w:left="170"/>
      </w:pPr>
      <w:r>
        <w:rPr>
          <w:rFonts w:ascii="Calibri" w:hAnsi="Calibri"/>
          <w:b/>
          <w:color w:val="4A6B25"/>
          <w:sz w:val="15"/>
        </w:rPr>
        <w:t xml:space="preserve">4. </w:t>
      </w:r>
      <w:r>
        <w:rPr>
          <w:rFonts w:ascii="Calibri" w:hAnsi="Calibri"/>
          <w:b w:val="0"/>
          <w:color w:val="3A4A28"/>
          <w:sz w:val="17"/>
        </w:rPr>
        <w:t>Progressive Corporate Sustainability Report — investors.progressive.com,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PGR Key Statistics and Financial Data,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Impaakt — Tricia Griffith Leadership Profile, Progressive Corporation,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