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PLBY</w:t>
      </w:r>
      <w:r>
        <w:rPr>
          <w:rFonts w:ascii="Calibri" w:hAnsi="Calibri"/>
          <w:b/>
          <w:color w:val="1A2010"/>
          <w:sz w:val="40"/>
        </w:rPr>
        <w:t xml:space="preserve">  Playboy, Inc.</w:t>
      </w:r>
    </w:p>
    <w:p>
      <w:pPr>
        <w:spacing w:after="120"/>
      </w:pPr>
      <w:r>
        <w:rPr>
          <w:rFonts w:ascii="Calibri" w:hAnsi="Calibri"/>
          <w:b/>
          <w:color w:val="6E8450"/>
          <w:sz w:val="18"/>
        </w:rPr>
        <w:t>GROWTH SLEEVE · 2026-09-29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Leisure &amp; Apparel Licensing · NASDAQ · United States</w:t>
      </w:r>
    </w:p>
    <w:p>
      <w:pPr>
        <w:spacing w:after="80"/>
      </w:pPr>
      <w:r>
        <w:rPr>
          <w:rFonts w:ascii="Calibri" w:hAnsi="Calibri"/>
          <w:b w:val="0"/>
          <w:color w:val="3A4A28"/>
          <w:sz w:val="20"/>
        </w:rPr>
        <w:t>Playboy, Inc. (formerly PLBY Group) operates as a global pleasure and leisure lifestyle company across Direct-to-Consumer and Licensing segments, spanning sexual wellness, style and apparel (including the Honey Birdette lingerie brand), gaming and lifestyle, and beauty and grooming. The majority of revenue derives from brand licensing of the Playboy trademark and Rabbit Head Design globally via a 15-year partnership with Byborg Enterprises. Renamed from PLBY Group in June 2025, the company reported H1 2026 revenue of $61.5M (+8% YoY) and returned to profitability in Q2 2026 with net income of $0.2M.</w:t>
      </w:r>
    </w:p>
    <w:p>
      <w:r>
        <w:rPr>
          <w:rFonts w:ascii="Calibri" w:hAnsi="Calibri"/>
          <w:b/>
          <w:color w:val="6E8450"/>
          <w:sz w:val="18"/>
        </w:rPr>
        <w:t>199 Employees · https://playboy.com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Playboy's 15-year licensing deal with Byborg Enterprises (25% profit share, nine extension options) has generated over $300M in guaranteed royalties from AI-driven adult content platforms [1]. Q2 2026 revenue grew 11% YoY to $31.2M with first-half revenue at $61.5M (+8% YoY), and the company returned to profitability with Q2 net income of $0.2M versus a $7.7M loss a year ago [1]. Six consecutive quarters of positive Adjusted EBITDA, with Q2 reaching $7.0M (nearly 2x YoY). AI Deployment (2/2): The Byborg partnership includes AI-generated content monetization via jasmine.ai platform with specific quantified guaranteed royalties ($300M+) — a shipped AI-monetized product with disclosed dollar terms [2]. Market Share (1/2): Honey Birdette delivered 18.2% YoY sales growth in Q2 2026 with 65.1% gross margin, a meaningful niche luxury lingerie brand, but remains a single-brand footprint rather than category leadership [1]. Pipeline (1/2): Licensing revenue of $11.2M in Q2 (+2% YoY) provides recurring base, but growth is heavily concentrated in Byborg and Honey Birdette with limited new category development. R&amp;D Intensity (0/1): As a brand licensor, no meaningful R&amp;D spend exists.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Playboy's stated mission to 'create a culture where all people can pursue pleasure' with 'pleasure as a fundamental human right' is distinctively articulated and tied to seven decades of brand identity, but the sexual content association limits its inspirational reach and has triggered institutional divestment [2][3]. Community Impact (0/2): No specific charitable programs or community investment data was identified; Goldman Sachs divested 82% of PLBY shares following advocacy campaigns by Collective Shout, which characterizes the brand as promoting 'sexploitation' [3]. Employee Retention (0/2): Workforce reduced from peak to 199 employees through the asset-light restructuring; no positive tenure or retention data was found. Insider Buying (0/2): CEO Ben Kohn sold 324,453 shares in July 2026 at $1.14-$1.19 per share, continuing a pattern of insider selling rather than buying even as the company touts turnaround progress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dollar volume is $1.03 stock price x 696,945 average daily shares = approximately $718K, below the $1,000,000 minimum liquidity threshold, so Infrastructure is scored 0 per the hard rule [5]. On the underlying mechanics, the company has made meaningful progress: ROE turned positive at 2.35% (from -22.7%), profit margin reached 0.23% (from -10.5%), and revenue growth accelerated to 10.9% YoY in Q2 2026 [1][5]. However, D/E of 849% remains catastrophically above the 300% floor ($192M debt vs thin equity), despite reducing total debt from a $218M peak toward a $108M target by January 2028 [1]. Forward P/E of 25.75 is above the 20 target but improving. Revenue declined at approximately -10% 5-year CAGR as the company contracted from $185M (2022) before recent recovery.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Playboy remains a finite-game operator whose strategic direction has shifted repeatedly under financial pressure rather than from a consistent cause — media company to DTC operator to asset-light licensor. The one strong data point is genuine existential flexibility demonstrated through multiple business-model reinventions across seven decades, most recently into AI-licensed content. However, continued insider selling, a depleted 199-person workforce, and revenue concentration in a handful of licensees signal survival mode rather than infinite-game play.</w:t>
      </w:r>
    </w:p>
    <w:p>
      <w:pPr>
        <w:spacing w:before="200" w:after="40"/>
      </w:pPr>
      <w:r>
        <w:rPr>
          <w:rFonts w:ascii="Calibri" w:hAnsi="Calibri"/>
          <w:b/>
          <w:color w:val="1A2010"/>
          <w:sz w:val="22"/>
        </w:rPr>
        <w:t>Just Cause</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Playboy's positioning around 'pleasure as a fundamental human right' is distinctive brand language but reads as commercial positioning rather than a resilient, service-oriented cause [2]. Strategic direction has shifted opportunistically (print media to DTC to asset-light licensor) in response to financial distress rather than purpose-driven evolution, and the brand's controversial associations with alcohol, gambling, and sexually explicit content limit its ability to inspire broader stakeholder commitment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Repeated restructurings have reduced the workforce to 199 employees, CEO Kohn sold 324,453 shares in July 2026 even as the company reported its first profitable quarter, and no positive employee sentiment or retention data was found [4]. The gap between management's turnaround narrative and insider selling behavior undermines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Playboy's competitive framing centers on defending the brand against digital platform disruption (OnlyFans, AI content generators) rather than learning from competitors' strengths; no evidence of an infinite competitive mindset toward rivals was found [2].</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Playboy has genuinely reinvented itself multiple times across seven decades — ceasing print publication (2020), acquiring Honey Birdette luxury lingerie, reversing a failed DTC strategy back to asset-light licensing, and monetizing AI-generated content through the Byborg partnership [1][2]. The capacity to completely reimagine the business model while preserving brand value is rare and authentic.</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reversed the costly DTC direct-operation strategy and returned to asset-light licensing — an honest admission of strategic error and a painful restructuring (workforce reduced to 199, headquarters relocated) [1]. Reducing debt from $218M peak toward a $108M target by January 2028 while achieving six consecutive quarters of positive EBITDA shows disciplined execution through adversity.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Playboy's turnaround is gaining traction: Q2 2026 delivered 11% revenue growth to $31.2M, net income of $0.2M (first profitable quarter after years of losses), and Adjusted EBITDA of $7.0M — the sixth consecutive positive EBITDA quarter [1]. The 15-year Byborg partnership ($300M+ guaranteed royalties, 25% profit share from AI-driven platforms) provides a durable, asset-light revenue stream, while Honey Birdette's 18.2% sales growth at 65.1% gross margin anchors the DTC segment [1][2]. Debt reduction from $218M peak to $145M, targeting $108M by January 2028, demonstrates disciplined deleveraging. Forward P/E of 25.75 reflects improving expectations as the company transitions to sustained profitability.</w:t>
      </w:r>
    </w:p>
    <w:p>
      <w:pPr>
        <w:spacing w:after="120"/>
      </w:pPr>
      <w:r>
        <w:rPr>
          <w:rFonts w:ascii="Calibri" w:hAnsi="Calibri"/>
          <w:b w:val="0"/>
          <w:color w:val="3A4A28"/>
          <w:sz w:val="20"/>
        </w:rPr>
        <w:t>The bear case remains dominant. Average daily dollar volume of approximately $718K falls below IOWN's $1M liquidity floor, triggering an automatic zero Infrastructure score — the stock at $1.03 is in penny-stock territory with a $123M market cap and is structurally illiquid for institutional positions [5]. D/E of 849% ($192M debt against thin equity) creates severe refinancing and covenant risk, and the 52-week decline from $2.75 to $1.03 (63% drop) reflects persistent market skepticism about the sustainability of recovery [5]. CEO Kohn's continued open-market share sales in July 2026 do not signal strong insider conviction despite the turnaround narrative. Goldman Sachs divested 82% of its PLBY holdings, and advocacy groups continue to campaign against the brand's association with sexual objectification [3]. Revenue remains heavily concentrated in Byborg and Honey Birdette — loss of either relationship would be existential.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ramp of the Byborg licensing partnership toward its full $300M+ guaranteed royalty potential with 25% profit share, as AI-driven content platforms scale revenue [1][2]</w:t>
      </w:r>
    </w:p>
    <w:p>
      <w:pPr>
        <w:spacing w:before="40" w:after="40"/>
        <w:ind w:left="283"/>
      </w:pPr>
      <w:r>
        <w:rPr>
          <w:rFonts w:ascii="Calibri" w:hAnsi="Calibri"/>
          <w:b/>
          <w:color w:val="4A6B25"/>
          <w:sz w:val="20"/>
        </w:rPr>
        <w:t xml:space="preserve">2. </w:t>
      </w:r>
      <w:r>
        <w:rPr>
          <w:rFonts w:ascii="Calibri" w:hAnsi="Calibri"/>
          <w:b w:val="0"/>
          <w:color w:val="3A4A28"/>
          <w:sz w:val="20"/>
        </w:rPr>
        <w:t>Honey Birdette's 18.2% comparable sales growth and 65.1% gross margin providing a profitable DTC anchor; sustained double-digit comps for six consecutive quarters signal brand momentum [1]</w:t>
      </w:r>
    </w:p>
    <w:p>
      <w:pPr>
        <w:spacing w:before="40" w:after="40"/>
        <w:ind w:left="283"/>
      </w:pPr>
      <w:r>
        <w:rPr>
          <w:rFonts w:ascii="Calibri" w:hAnsi="Calibri"/>
          <w:b/>
          <w:color w:val="4A6B25"/>
          <w:sz w:val="20"/>
        </w:rPr>
        <w:t xml:space="preserve">3. </w:t>
      </w:r>
      <w:r>
        <w:rPr>
          <w:rFonts w:ascii="Calibri" w:hAnsi="Calibri"/>
          <w:b w:val="0"/>
          <w:color w:val="3A4A28"/>
          <w:sz w:val="20"/>
        </w:rPr>
        <w:t>Debt reduction from $145M toward $108M target by January 2028 could materially de-risk the balance sheet and improve equity value, potentially restoring the stock above the liquidity floor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 average daily dollar volume of approximately $718K ($1.03 x 696,945 shares) falls below the $1M threshold, making PLBY structurally unsuitable for institutional-scale positions [5]</w:t>
      </w:r>
    </w:p>
    <w:p>
      <w:pPr>
        <w:spacing w:before="40" w:after="40"/>
        <w:ind w:left="283"/>
      </w:pPr>
      <w:r>
        <w:rPr>
          <w:rFonts w:ascii="Calibri" w:hAnsi="Calibri"/>
          <w:b/>
          <w:color w:val="4A6B25"/>
          <w:sz w:val="20"/>
        </w:rPr>
        <w:t xml:space="preserve">2. </w:t>
      </w:r>
      <w:r>
        <w:rPr>
          <w:rFonts w:ascii="Calibri" w:hAnsi="Calibri"/>
          <w:b w:val="0"/>
          <w:color w:val="3A4A28"/>
          <w:sz w:val="20"/>
        </w:rPr>
        <w:t>D/E of 849% with $192M total debt against thin equity creates severe refinancing risk; the stock at $1.03 with a $123M market cap is in penny-stock territory with NASDAQ minimum bid price compliance risk [5]</w:t>
      </w:r>
    </w:p>
    <w:p>
      <w:pPr>
        <w:spacing w:before="40" w:after="40"/>
        <w:ind w:left="283"/>
      </w:pPr>
      <w:r>
        <w:rPr>
          <w:rFonts w:ascii="Calibri" w:hAnsi="Calibri"/>
          <w:b/>
          <w:color w:val="4A6B25"/>
          <w:sz w:val="20"/>
        </w:rPr>
        <w:t xml:space="preserve">3. </w:t>
      </w:r>
      <w:r>
        <w:rPr>
          <w:rFonts w:ascii="Calibri" w:hAnsi="Calibri"/>
          <w:b w:val="0"/>
          <w:color w:val="3A4A28"/>
          <w:sz w:val="20"/>
        </w:rPr>
        <w:t>Revenue concentrated in Byborg and Honey Birdette partnerships — loss or renegotiation of either would be existential, and advocacy campaigns (Goldman Sachs 82% divestment) continue to pressure institutional ownership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Playboy's licensing model faces real substitution risk — AI-generated adult content and platforms like OnlyFans have structurally disrupted the category Playboy's digital content business once occupied, and high concentration of licensing revenue in a small number of licensees creates fragility [2]. The Playboy trademark and Rabbit Head Design provide durable brand-licensing moats in apparel, gaming, and location-based entertainment that are less directly AI-substitutable, and the Honey Birdette physical retail business requires in-person experience. AI Opportunity (1/1): Playboy is actively monetizing the AI wave — the Byborg/jasmine.ai partnership generates $300M+ in guaranteed royalties with a 25% profit share, representing one of the few direct AI revenue streams among consumer lifestyle companies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Alcohol </w:t>
      </w:r>
      <w:r>
        <w:rPr>
          <w:rFonts w:ascii="Calibri" w:hAnsi="Calibri"/>
          <w:b w:val="0"/>
          <w:color w:val="9DAF88"/>
          <w:sz w:val="17"/>
        </w:rPr>
        <w:t xml:space="preserve">  ·  </w:t>
      </w:r>
      <w:r>
        <w:rPr>
          <w:rFonts w:ascii="Calibri" w:hAnsi="Calibri"/>
          <w:b/>
          <w:color w:val="DC2626"/>
          <w:sz w:val="17"/>
        </w:rPr>
        <w:t xml:space="preserve"> Gambling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Playboy Inc Q2 2026 Financial Results — Yahoo Finance Earnings Call Highlights, StockAnalysis, August 2026</w:t>
      </w:r>
    </w:p>
    <w:p>
      <w:pPr>
        <w:spacing w:before="20" w:after="20"/>
        <w:ind w:left="170"/>
      </w:pPr>
      <w:r>
        <w:rPr>
          <w:rFonts w:ascii="Calibri" w:hAnsi="Calibri"/>
          <w:b/>
          <w:color w:val="4A6B25"/>
          <w:sz w:val="15"/>
        </w:rPr>
        <w:t xml:space="preserve">2. </w:t>
      </w:r>
      <w:r>
        <w:rPr>
          <w:rFonts w:ascii="Calibri" w:hAnsi="Calibri"/>
          <w:b w:val="0"/>
          <w:color w:val="3A4A28"/>
          <w:sz w:val="17"/>
        </w:rPr>
        <w:t>Playboy Strategic Reinvention: Byborg AI Licensing Deal and Asset-Light Model — ainvest.com, ts2.tech, Microcap Newsletter, 2025-2026</w:t>
      </w:r>
    </w:p>
    <w:p>
      <w:pPr>
        <w:spacing w:before="20" w:after="20"/>
        <w:ind w:left="170"/>
      </w:pPr>
      <w:r>
        <w:rPr>
          <w:rFonts w:ascii="Calibri" w:hAnsi="Calibri"/>
          <w:b/>
          <w:color w:val="4A6B25"/>
          <w:sz w:val="15"/>
        </w:rPr>
        <w:t xml:space="preserve">3. </w:t>
      </w:r>
      <w:r>
        <w:rPr>
          <w:rFonts w:ascii="Calibri" w:hAnsi="Calibri"/>
          <w:b w:val="0"/>
          <w:color w:val="3A4A28"/>
          <w:sz w:val="17"/>
        </w:rPr>
        <w:t>Playboy ESG &amp; Shareholder Activism — Collective Shout divestment campaign, Goldman Sachs PLBY disposal, MarketScreener ESG profile, 2022-2026</w:t>
      </w:r>
    </w:p>
    <w:p>
      <w:pPr>
        <w:spacing w:before="20" w:after="20"/>
        <w:ind w:left="170"/>
      </w:pPr>
      <w:r>
        <w:rPr>
          <w:rFonts w:ascii="Calibri" w:hAnsi="Calibri"/>
          <w:b/>
          <w:color w:val="4A6B25"/>
          <w:sz w:val="15"/>
        </w:rPr>
        <w:t xml:space="preserve">4. </w:t>
      </w:r>
      <w:r>
        <w:rPr>
          <w:rFonts w:ascii="Calibri" w:hAnsi="Calibri"/>
          <w:b w:val="0"/>
          <w:color w:val="3A4A28"/>
          <w:sz w:val="17"/>
        </w:rPr>
        <w:t>Playboy Inc Insider Trading Activity (CEO Ben Kohn Share Sales) — StockTitan, SEC Form 4 filings, July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PLBY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