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PLG</w:t>
      </w:r>
      <w:r>
        <w:rPr>
          <w:rFonts w:ascii="Calibri" w:hAnsi="Calibri"/>
          <w:b/>
          <w:color w:val="1A2010"/>
          <w:sz w:val="40"/>
        </w:rPr>
        <w:t xml:space="preserve">  Platinum Group Metals Ltd.</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NYSE · Canada</w:t>
      </w:r>
    </w:p>
    <w:p>
      <w:pPr>
        <w:spacing w:after="80"/>
      </w:pPr>
      <w:r>
        <w:rPr>
          <w:rFonts w:ascii="Calibri" w:hAnsi="Calibri"/>
          <w:b w:val="0"/>
          <w:color w:val="3A4A28"/>
          <w:sz w:val="20"/>
        </w:rPr>
        <w:t>Platinum Group Metals is a development-stage mining company focused on advancing the Waterberg Project in South Africa's Bushveld Complex, one of the world's largest undeveloped platinum group metals (PGM) deposits with 23.41 million 4E ounces in mineral reserves and a projected 54-year mine life. The company holds a 50.16% interest in the Waterberg JV after funding Implats' JV shortfall. Q3 FY2026 (ended May 2026) reported net loss of $2.88M for nine months, improved from $3.40M prior year. Accumulated project costs of $55.2M capitalized to Waterberg with ~$92.9M total since inception. Pursuing Lion PGM battery technology research and recently launched a $60M ATM equity program.</w:t>
      </w:r>
    </w:p>
    <w:p>
      <w:r>
        <w:rPr>
          <w:rFonts w:ascii="Calibri" w:hAnsi="Calibri"/>
          <w:b/>
          <w:color w:val="6E8450"/>
          <w:sz w:val="18"/>
        </w:rPr>
        <w:t>111 Employees · https://www.platinumgroupmetals.net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PLG advanced the Waterberg Project with an updated Definitive Feasibility Study showing a 20% increase in mineral reserves to 23.41M 4E ounces and a 54-year mine life, with accumulated capitalized costs reaching $55.2M and total project expenditures of $92.9M since inception [1]. However, the company remains pre-production after 24 years of development with zero operating revenue, and net loss for the nine months ended May 2026 was $2.88M [1]. AI Deployment (0/2): No AI products or AI-driven operational improvements — PLG is a small exploration/development company with 111 employees and no technology deployment beyond standard mining geological modeling [2]. Market Share (1/2): Waterberg is recognized as one of the largest and potentially lowest-cost underground PGM deposits globally, with an after-tax NPV of $569M and $6.50B in projected lifetime cash flows — a genuinely differentiated asset in the global PGM landscape amid three consecutive years of platinum deficits [1][2]. Product Pipeline (1/2): Lion battery technology partnership applies PGM catalysis to battery chemistries, and a Saudi smelter partnership adds downstream optionality beyond traditional autocatalyst markets [2]. The third consecutive year of platinum deficits strengthens the macro case for Waterberg development. R&amp;D Intensity (1/1): Significant cumulative exploration and study spending of $92.9M relative to the $240M market cap, plus active battery technology research investment through the Lion initiative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PLG's purpose centers on developing the Waterberg mine and unlocking PGM value for stakeholders — a standard mining company mission without a broader transformative cause beyond shareholder returns [2]. The connection to hydrogen economy and clean energy provides some purpose narrative but mining for profit remains the primary driver. Community Impact (1/2): The JV structures Mnombo Wethu at 26% BEE ownership to address South Africa's broad-based economic empowerment requirements, and PLG has received the Canadian Mining Industry's Sustainable Development Award [2][3]. However, community opposition groups have filed legal challenges to the mining right and environmental authorization, indicating unresolved local tensions. Employee Retention (1/2): CEO Frank Hallam has been with the company since its inception in 2002 (24 years), with board average tenure of 12.6 years — exceptional leadership continuity for a pre-revenue company that signals genuine belief in the project [2]. Hallam's below-market compensation ($677K vs. $1.47M industry average) demonstrates alignment through equity rather than cash extraction. Insider Buying (1/2): CEO Hallam's compensation is 49% stock-based, well below market average, representing alignment through equity participation [2]. No discretionary open-market insider purchases identified, but the below-market pay signals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PLG is a pre-revenue development company with zero operating revenue, negative profit margins, and negative ROE (-7.84%), resulting in floor scores on most financial metrics [1]. D/E of 0.27% is essentially zero leverage, scoring perfectly against the 70% target [1]. Forward P/E is negative (analysts expect continued losses until mine construction). Net loss for nine months ended May 2026 was $2.88M ($0.02/share), slightly improved from $3.40M prior year [1]. Market cap has increased to approximately $240M, but the ongoing $60M ATM share sale program continues to dilute shareholders (shares outstanding ~128M) [1]. The company requires $946M in capital to build Waterberg — more than 4x the current market cap. Liquidity floor cleared: 1.28M avg volume x $1.87 = $2.39M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PLG operates with a largely finite mindset shaped by the mining development cycle — the 24-year journey to advance Waterberg shows remarkable patience, but strategic decisions are driven by commodity economics and financing requirements rather than a deeper organizational purpose. The BEE partnership and community engagement represent positive elements, but the company's identity is entirely inseparable from a single mining asset, leaving no room for cause-driven strategic evolution. Sinek would note the persistence but question whether the company plays to keep playing or merely waits for production to begin.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PLG's purpose is narrowly focused on developing a single mining asset for shareholder value. The BEE partnership with Mnombo (26% ownership) adds a social dimension, the Lion battery technology initiative connects PGMs to the energy transition, and the company highlights its role in addressing platinum supply deficits [2]. However, none of these constitutes a transformative cause that shapes organizational behavior. The company exists to extract minerals profitably.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Board continuity (12.6 years average tenure) and CEO Frank Hallam's 24-year tenure since company inception demonstrate exceptional stability at the governance level [2]. Hallam's below-market compensation ($677K vs. $1.47M average) signals alignment with shareholders. With approximately 111 employees, the organization is small enough for direct leadership engagement. However, no specific data on employee culture, turnover, or trust practices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PLG does not discuss competitors in a learning-oriented way [2]. As a single-asset developer, competitive dynamics are less central than for operating miners. The company frames its positioning around Waterberg's unique asset-level advantages (scale, grade, cost position) rather than organizational learning from peers like Sibanye-Stillwater, Anglo American Platinum, or Implats.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PLG has been a single-asset PGM development company for 24 years without a transformative pivot [2]. The Lion battery technology initiative represents an incremental exploration of adjacent PGM applications rather than a fundamental reinvention. The company faces the existential challenge of BEV adoption threatening PGM demand but has not demonstrated a strategic response beyond nascent battery research. Since early 2024, JV partner Implats has stopped funding cash calls, and PLG's identity remains entirely defined by one mine.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PLG has persisted through 24 years of development without revenue, persistence is not courage in Sinek's framework [2]. The company has not made costly decisions that sacrifice near-term results for long-term capability — it simply has no near-term results to sacrifice. The ATM share programs ($60M launched) that continuously dilute shareholders represent standard exploration company financing rather than courageous leadership. Funding Implats' JV shortfall to increase ownership was financially opportunistic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PLG offers leveraged exposure to a world-class PGM asset at a significant discount — Waterberg's updated DFS shows 23.41M 4E ounce reserves, a 54-year mine life, $569M after-tax NPV, and $6.50B in projected lifetime cash flows against a current market cap of only $240M [1]. The third consecutive year of platinum market deficits strengthens the commodity price outlook, and the company increased its effective JV ownership to 50.16% by funding Implats' shortfall. At $1.87, the stock prices in near-zero probability of successful mine development despite zero debt leverage (D/E 0.27%) and a manageable loss rate ($2.88M for nine months). The Lion battery technology initiative adds optionality beyond traditional autocatalyst demand, and hydrogen fuel cell adoption could create new PGM demand. CEO Frank Hallam's 24-year tenure and below-market compensation signal alignment with long-term shareholder interests [2].</w:t>
      </w:r>
    </w:p>
    <w:p>
      <w:pPr>
        <w:spacing w:after="120"/>
      </w:pPr>
      <w:r>
        <w:rPr>
          <w:rFonts w:ascii="Calibri" w:hAnsi="Calibri"/>
          <w:b w:val="0"/>
          <w:color w:val="3A4A28"/>
          <w:sz w:val="20"/>
        </w:rPr>
        <w:t>The bear case centers on extreme execution risk, financing uncertainty, and secular commodity headwinds. PLG has been in development for 24 years with zero operating revenue and requires $946M in capital expenditure to build the mine — more than 4x the current $240M market cap — which must be raised through debt, equity, or strategic partner financing that has not materialized despite years of effort [1]. The $60M ATM equity program (following prior programs) continuously dilutes shareholders, with shares outstanding now at approximately 128M. Implats' decision to stop funding JV cash calls since early 2024 signals that a major PGM producer does not see sufficient near-term value in Waterberg. Community opposition and legal challenges to the mining right and environmental authorization in South African courts create permitting risk that could delay or block construction [3]. The secular decline of PGM autocatalyst demand as BEV adoption accelerates threatens long-term commodity prices. South Africa's political risk, Eskom power grid instability, and labor dynamics add country-specific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Securing development financing and concentrate offtake agreements for the $946M capital requirement — would de-risk the project and validate Waterberg's economics at a fraction of the $569M NPV [1]</w:t>
      </w:r>
    </w:p>
    <w:p>
      <w:pPr>
        <w:spacing w:before="40" w:after="40"/>
        <w:ind w:left="283"/>
      </w:pPr>
      <w:r>
        <w:rPr>
          <w:rFonts w:ascii="Calibri" w:hAnsi="Calibri"/>
          <w:b/>
          <w:color w:val="4A6B25"/>
          <w:sz w:val="20"/>
        </w:rPr>
        <w:t xml:space="preserve">2. </w:t>
      </w:r>
      <w:r>
        <w:rPr>
          <w:rFonts w:ascii="Calibri" w:hAnsi="Calibri"/>
          <w:b w:val="0"/>
          <w:color w:val="3A4A28"/>
          <w:sz w:val="20"/>
        </w:rPr>
        <w:t>Resolution of community legal challenges to Waterberg mining right and environmental authorization — favorable South African court outcomes would clear the path to construction [3]</w:t>
      </w:r>
    </w:p>
    <w:p>
      <w:pPr>
        <w:spacing w:before="40" w:after="40"/>
        <w:ind w:left="283"/>
      </w:pPr>
      <w:r>
        <w:rPr>
          <w:rFonts w:ascii="Calibri" w:hAnsi="Calibri"/>
          <w:b/>
          <w:color w:val="4A6B25"/>
          <w:sz w:val="20"/>
        </w:rPr>
        <w:t xml:space="preserve">3. </w:t>
      </w:r>
      <w:r>
        <w:rPr>
          <w:rFonts w:ascii="Calibri" w:hAnsi="Calibri"/>
          <w:b w:val="0"/>
          <w:color w:val="3A4A28"/>
          <w:sz w:val="20"/>
        </w:rPr>
        <w:t>Three consecutive years of platinum market deficits and potential hydrogen fuel cell demand growth could sustain PGM commodity prices above Waterberg's development thresholds, strengthening the investment case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Financing gap — $946M capital expenditure requirement against a $240M market cap requires transformative financing that has not materialized after 24 years of development, and the $60M ATM program provides only incremental dilutive funding [1]</w:t>
      </w:r>
    </w:p>
    <w:p>
      <w:pPr>
        <w:spacing w:before="40" w:after="40"/>
        <w:ind w:left="283"/>
      </w:pPr>
      <w:r>
        <w:rPr>
          <w:rFonts w:ascii="Calibri" w:hAnsi="Calibri"/>
          <w:b/>
          <w:color w:val="4A6B25"/>
          <w:sz w:val="20"/>
        </w:rPr>
        <w:t xml:space="preserve">2. </w:t>
      </w:r>
      <w:r>
        <w:rPr>
          <w:rFonts w:ascii="Calibri" w:hAnsi="Calibri"/>
          <w:b w:val="0"/>
          <w:color w:val="3A4A28"/>
          <w:sz w:val="20"/>
        </w:rPr>
        <w:t>Community opposition and environmental litigation — High Court challenges to the Waterberg mining right and environmental authorization could delay or block construction in South Africa's judicial system [3]</w:t>
      </w:r>
    </w:p>
    <w:p>
      <w:pPr>
        <w:spacing w:before="40" w:after="40"/>
        <w:ind w:left="283"/>
      </w:pPr>
      <w:r>
        <w:rPr>
          <w:rFonts w:ascii="Calibri" w:hAnsi="Calibri"/>
          <w:b/>
          <w:color w:val="4A6B25"/>
          <w:sz w:val="20"/>
        </w:rPr>
        <w:t xml:space="preserve">3. </w:t>
      </w:r>
      <w:r>
        <w:rPr>
          <w:rFonts w:ascii="Calibri" w:hAnsi="Calibri"/>
          <w:b w:val="0"/>
          <w:color w:val="3A4A28"/>
          <w:sz w:val="20"/>
        </w:rPr>
        <w:t>Secular decline in PGM autocatalyst demand — BEV adoption reduces long-term platinum and palladium consumption, potentially undermining the commodity price assumptions underlying Waterberg's $569M NPV and $6.50B lifetime cash flow projections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PGM mining is a deeply physical-world operation that AI structurally cannot replicate — extracting platinum, palladium, and rhodium from underground deposits in South Africa's Bushveld Complex requires massive infrastructure, geological expertise, heavy equipment, and regulatory compliance entirely beyond AI's scope [2]. PGMs are critical materials for electronics, catalytic applications, and hydrogen fuel cell technology that support broader technology infrastructure. AI data center growth may indirectly increase demand for PGM-containing components. However, PLG faces indirect technology-transition risk: battery electric vehicle (BEV) adoption threatens long-term PGM demand from autocatalysts, which historically accounts for ~40% of platinum and ~80% of palladium demand [2]. Hydrogen fuel cell vehicles (using PGM catalysts) represent a potential offset but remain a smaller market. AI Opportunity (0/1): PLG generates no revenue of any kind — the company is pre-revenue across all categories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PLG Q3 FY2026 Results (Nine Months Ended May 31, 2026) — Net Loss $2.88M, Accumulated Waterberg Costs $55.2M, Total Since Inception $92.9M, $60M ATM Program — platinumgroupmetals.net,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PLG Corporate Profile — CEO Frank Hallam (Since 2002), 50.16% Waterberg JV, Lion Battery Technology, Hydrogen Economy, Third Consecutive Year of Platinum Deficits — platinumgroupmetals.net, MiningNewsWire, 2024-2026</w:t>
      </w:r>
    </w:p>
    <w:p>
      <w:pPr>
        <w:spacing w:before="20" w:after="20"/>
        <w:ind w:left="170"/>
      </w:pPr>
      <w:r>
        <w:rPr>
          <w:rFonts w:ascii="Calibri" w:hAnsi="Calibri"/>
          <w:b/>
          <w:color w:val="4A6B25"/>
          <w:sz w:val="15"/>
        </w:rPr>
        <w:t xml:space="preserve">3. </w:t>
      </w:r>
      <w:r>
        <w:rPr>
          <w:rFonts w:ascii="Calibri" w:hAnsi="Calibri"/>
          <w:b w:val="0"/>
          <w:color w:val="3A4A28"/>
          <w:sz w:val="17"/>
        </w:rPr>
        <w:t>Digbee ESG Assessment (BBB), Community Opposition, BEE Partnership — Mnombo 26% Ownership, Mining Sustainability Awards, High Court Challenges — Company ESG Page, Legal Filings,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