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PMT</w:t>
      </w:r>
      <w:r>
        <w:rPr>
          <w:rFonts w:ascii="Calibri" w:hAnsi="Calibri"/>
          <w:b/>
          <w:color w:val="1A2010"/>
          <w:sz w:val="40"/>
        </w:rPr>
        <w:t xml:space="preserve">  PennyMac Mortgage Investment Trust</w:t>
      </w:r>
    </w:p>
    <w:p>
      <w:pPr>
        <w:spacing w:after="120"/>
      </w:pPr>
      <w:r>
        <w:rPr>
          <w:rFonts w:ascii="Calibri" w:hAnsi="Calibri"/>
          <w:b/>
          <w:color w:val="6E8450"/>
          <w:sz w:val="18"/>
        </w:rPr>
        <w:t>DIVIDEND SLEEVE · 2026-09-26 · Inspire: 31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EBEE" w:val="clear"/>
          </w:tcPr>
          <w:p>
            <w:pPr>
              <w:spacing w:before="40" w:after="40"/>
              <w:jc w:val="center"/>
            </w:pPr>
            <w:r>
              <w:rPr>
                <w:rFonts w:ascii="Calibri" w:hAnsi="Calibri"/>
                <w:b/>
                <w:color w:val="DC2626"/>
                <w:sz w:val="20"/>
              </w:rPr>
              <w:t>SELL</w:t>
            </w:r>
          </w:p>
        </w:tc>
      </w:tr>
    </w:tbl>
    <w:p>
      <w:pPr>
        <w:spacing w:before="120" w:after="200"/>
      </w:pPr>
      <w:r>
        <w:rPr>
          <w:rFonts w:ascii="Calibri" w:hAnsi="Calibri"/>
          <w:b/>
          <w:color w:val="1A2010"/>
          <w:sz w:val="80"/>
        </w:rPr>
        <w:t>33</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Real Estate · REIT - Mortgage · NYSE · United States</w:t>
      </w:r>
    </w:p>
    <w:p>
      <w:pPr>
        <w:spacing w:after="80"/>
      </w:pPr>
      <w:r>
        <w:rPr>
          <w:rFonts w:ascii="Calibri" w:hAnsi="Calibri"/>
          <w:b w:val="0"/>
          <w:color w:val="3A4A28"/>
          <w:sz w:val="20"/>
        </w:rPr>
        <w:t>PennyMac Mortgage Investment Trust is a REIT, externally managed by an affiliate of PennyMac Financial Services, that invests in residential mortgage-related assets through three segments: Credit Sensitive Strategies (credit risk transfer agreements, subordinate MBS), Interest Rate Sensitive Strategies (mortgage servicing rights, agency/senior non-agency MBS, hedging), and Correspondent Production (purchasing and reselling newly originated prime loans). Q1 2026 net investment income of $82.1M was up 84.8% YoY and net income of $24.6M was up 154.3% YoY off a depressed prior-year base, but full-year 2025 net income of $86.1M was down from $119.2M in 2024 [1].</w:t>
      </w:r>
    </w:p>
    <w:p>
      <w:r>
        <w:rPr>
          <w:rFonts w:ascii="Calibri" w:hAnsi="Calibri"/>
          <w:b/>
          <w:color w:val="6E8450"/>
          <w:sz w:val="18"/>
        </w:rPr>
        <w:t>https://pmt.pennymac.com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(1/3): PMT operates the same three-segment mortgage REIT model it has run for years (credit-sensitive strategies, rate-sensitive strategies, correspondent production), with no launches or pivots identified beyond routine portfolio rebalancing across rate cycles [1]. AI Deployment (0/2): No evidence of AI-powered products or quantified AI-driven efficiency gains was found. Market Share (1/2): PMT benefits from its affiliation with PennyMac Financial Services, a top-tier correspondent lender, but no data quantifying PMT's own share of the mortgage REIT or MSR market was found [1]. Product Pipeline (0/2): No next-generation products or announced initiatives with specific timelines were identified. R&amp;D Intensity (0/1): Not applicable/disclosed for an externally-managed mortgage REIT.</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1</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
            <w:shd w:fill="DC2626" w:val="clear"/>
          </w:tcPr>
          <w:p>
            <w:pPr>
              <w:spacing w:before="0" w:after="0"/>
            </w:pPr>
            <w:r>
              <w:rPr>
                <w:rFonts w:ascii="Calibri" w:hAnsi="Calibri"/>
                <w:b w:val="0"/>
                <w:color w:val="1A2010"/>
                <w:sz w:val="4"/>
              </w:rPr>
            </w:r>
          </w:p>
        </w:tc>
        <w:tc>
          <w:tcPr>
            <w:tcW w:type="dxa" w:w="496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(1/4): PMT's stated purpose — investing in residential mortgage-related assets to generate REIT income for shareholders — is generic and interchangeable with any mortgage REIT, with no distinctive articulation of purpose beyond financial returns. Community Impact (0/2): No charitable or community investment programs specific to PMT were found. Employee Retention (0/2): Glassdoor reviews of the broader PennyMac organization are mixed — 'intelligent and ethical leadership' alongside a report that 'executive management has a very poisonous attitude which trickles down to all levels' — showing no clear above-average retention signal [2]. Insider Buying (0/2): No insider buying data specific to PMT was found.</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available metrics. Forward P/E of 6.01x, profit margin of 24.3%, and 5-year revenue CAGR of ~15.3% (off a depressed 2022 base amid the 2022 rate-hike downturn) all clear their targets. D/E of 1,239% is characteristic of a leveraged mortgage REIT financing MBS/MSR positions with repo debt, but scores 0 against the bank-style 300% floor used in this framework. ROE of 8.94% and revenue growth YoY of 6.1% are both moderate, well short of the 15% and 10% targets respectively. On dividend metrics, the extraordinarily high 19.2% yield reflects payout ratio of 111% — already above the 100% floor — and the trailing dividend has been cut repeatedly (from $1.88/year 2017-2019 to $1.60/year 2023-2025), producing a negative 5-year dividend growth CAGR of approximately -3.9% and zero consecutive years of dividend growth, both scoring 0 [4].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DC2626"/>
          <w:sz w:val="28"/>
        </w:rPr>
        <w:t>2</w:t>
      </w:r>
      <w:r>
        <w:rPr>
          <w:rFonts w:ascii="Calibri" w:hAnsi="Calibri"/>
          <w:b w:val="0"/>
          <w:color w:val="9DAF88"/>
          <w:sz w:val="18"/>
        </w:rPr>
        <w:t xml:space="preserve"> /10</w:t>
      </w:r>
    </w:p>
    <w:p>
      <w:pPr>
        <w:spacing w:after="120"/>
      </w:pPr>
      <w:r>
        <w:rPr>
          <w:rFonts w:ascii="Calibri" w:hAnsi="Calibri"/>
          <w:b w:val="0"/>
          <w:color w:val="3A4A28"/>
          <w:sz w:val="18"/>
        </w:rPr>
        <w:t>PMT is a classically finite-game vehicle: an externally-managed mortgage REIT whose stated purpose is generating shareholder income from mortgage assets, with dividend cuts used repeatedly as a release valve during down cycles rather than evidence of a durable cause defended through hard choices; mixed internal culture signals and an absence of any distinctive competitive philosophy reinforce a low overall infinite-game reading.</w:t>
      </w:r>
    </w:p>
    <w:p>
      <w:pPr>
        <w:spacing w:before="200" w:after="40"/>
      </w:pPr>
      <w:r>
        <w:rPr>
          <w:rFonts w:ascii="Calibri" w:hAnsi="Calibri"/>
          <w:b/>
          <w:color w:val="1A2010"/>
          <w:sz w:val="22"/>
        </w:rPr>
        <w:t>Just Cause</w:t>
      </w:r>
    </w:p>
    <w:p>
      <w:pPr>
        <w:spacing w:before="0" w:after="40"/>
      </w:pPr>
      <w:r>
        <w:rPr>
          <w:rFonts w:ascii="Calibri" w:hAnsi="Calibri"/>
          <w:b/>
          <w:color w:val="DC2626"/>
          <w:sz w:val="28"/>
        </w:rPr>
        <w:t>1</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
            <w:shd w:fill="DC2626" w:val="clear"/>
          </w:tcPr>
          <w:p>
            <w:pPr>
              <w:spacing w:before="0" w:after="0"/>
            </w:pPr>
            <w:r>
              <w:rPr>
                <w:rFonts w:ascii="Calibri" w:hAnsi="Calibri"/>
                <w:b w:val="0"/>
                <w:color w:val="1A2010"/>
                <w:sz w:val="4"/>
              </w:rPr>
            </w:r>
          </w:p>
        </w:tc>
        <w:tc>
          <w:tcPr>
            <w:tcW w:type="dxa" w:w="496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(0/3): No purpose beyond generating REIT income and distributing dividends to shareholders was identified; the mission is explicitly financial-return-oriented rather than service- or cause-oriented [1].</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Glassdoor reviews of the broader PennyMac organization are mixed, citing both 'intelligent and ethical leadership staff' and a 'poisonous attitude' from executive management trickling down, with work-life balance rated only 3.0/5 — an adequate-but-unremarkable picture rather than a red flag or a standout [2].</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No evidence of competitive philosophy, either finite or infinite, was found in available research on PMT specifically.</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PMT operates three distinct strategies (Credit Sensitive, Interest Rate Sensitive, Correspondent Production) that management rebalances across rate and credit cycles, showing incremental tactical adaptation, but no evidence of a transformative reinvention of the underlying mortgage REIT business model [1].</w:t>
      </w:r>
    </w:p>
    <w:p>
      <w:pPr>
        <w:spacing w:before="200" w:after="40"/>
      </w:pPr>
      <w:r>
        <w:rPr>
          <w:rFonts w:ascii="Calibri" w:hAnsi="Calibri"/>
          <w:b/>
          <w:color w:val="1A2010"/>
          <w:sz w:val="22"/>
        </w:rPr>
        <w:t>Courage To Lead</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(0/2): The pattern of repeated dividend reductions (from $1.88/year to $1.60/year, and further to an annualized ~$0.80 pace observed year-to-date in 2026) reflects defensive capital preservation in response to market conditions rather than a costly, principled long-term bet [4].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PennyMac Mortgage Investment Trust screens statistically cheap, trading at 6.01x forward earnings with a PEG of 0.76 and a 19.2% dividend yield, and Q1 2026 showed a sharp turnaround with net investment income up 84.8% YoY to $82.1M and net income up 154.3% YoY to $24.6M as mortgage-market conditions improved off a depressed 2025 base [1]. Profit margin of 24.3% and a 5-year revenue CAGR of ~15.3% (recovering from the 2022 rate-shock trough) show the business can generate strong returns when credit and rate conditions cooperate, and the PennyMac Financial Services affiliation provides origination and servicing scale advantages in the Correspondent Production segment.</w:t>
      </w:r>
    </w:p>
    <w:p>
      <w:pPr>
        <w:spacing w:after="120"/>
      </w:pPr>
      <w:r>
        <w:rPr>
          <w:rFonts w:ascii="Calibri" w:hAnsi="Calibri"/>
          <w:b w:val="0"/>
          <w:color w:val="3A4A28"/>
          <w:sz w:val="20"/>
        </w:rPr>
        <w:t>The bear case is dominant here: full-year 2025 net income fell to $86.1M from $119.2M in 2024, the payout ratio of 111% already exceeds the sustainability floor used in this framework, and the annual dividend has been cut from $1.88 to $1.60 and appears to be tracking toward roughly $0.80-1.00 on a 2026 annualized run rate — a negative 5-year dividend growth CAGR of about -3.9% with zero consecutive years of increases [4]. D/E of 1,239% reflects heavy repo leverage inherent to the mortgage REIT model, which amplifies both gains and losses and leaves book value highly sensitive to interest-rate and credit-spread volatility. ROE of 8.94% is well below the 15% target, and no evidence of AI deployment, a distinctive mission, or Sinek-style long-term courage was found — this is a income vehicle whose historical earnings trend has declined at roughly -11.2% annually, and the extremely high headline yield is compensation for elevated dividend-cut risk rather than a durable, growing income stream.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Continued Q1 2026-style improvement in net investment income (up 84.8% YoY) if mortgage rate volatility declines and MSR/MBS valuations stabilize [1]</w:t>
      </w:r>
    </w:p>
    <w:p>
      <w:pPr>
        <w:spacing w:before="40" w:after="40"/>
        <w:ind w:left="283"/>
      </w:pPr>
      <w:r>
        <w:rPr>
          <w:rFonts w:ascii="Calibri" w:hAnsi="Calibri"/>
          <w:b/>
          <w:color w:val="4A6B25"/>
          <w:sz w:val="20"/>
        </w:rPr>
        <w:t xml:space="preserve">2. </w:t>
      </w:r>
      <w:r>
        <w:rPr>
          <w:rFonts w:ascii="Calibri" w:hAnsi="Calibri"/>
          <w:b w:val="0"/>
          <w:color w:val="3A4A28"/>
          <w:sz w:val="20"/>
        </w:rPr>
        <w:t>Correspondent Production volume growth benefiting from PennyMac Financial Services' scale as a top-tier correspondent aggregator if refinancing activity picks up</w:t>
      </w:r>
    </w:p>
    <w:p>
      <w:pPr>
        <w:spacing w:before="40" w:after="40"/>
        <w:ind w:left="283"/>
      </w:pPr>
      <w:r>
        <w:rPr>
          <w:rFonts w:ascii="Calibri" w:hAnsi="Calibri"/>
          <w:b/>
          <w:color w:val="4A6B25"/>
          <w:sz w:val="20"/>
        </w:rPr>
        <w:t xml:space="preserve">3. </w:t>
      </w:r>
      <w:r>
        <w:rPr>
          <w:rFonts w:ascii="Calibri" w:hAnsi="Calibri"/>
          <w:b w:val="0"/>
          <w:color w:val="3A4A28"/>
          <w:sz w:val="20"/>
        </w:rPr>
        <w:t>Potential stabilization or modest increase in the dividend if 2026 earnings recovery proves durable rather than a one-quarter rebound off a depressed base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Payout ratio of 111%, already above the sustainability threshold, combined with a track record of repeated dividend cuts (from $1.88 to $1.60 to an annualized pace near $0.80-1.00 in 2026) signals continued distribution risk [4]</w:t>
      </w:r>
    </w:p>
    <w:p>
      <w:pPr>
        <w:spacing w:before="40" w:after="40"/>
        <w:ind w:left="283"/>
      </w:pPr>
      <w:r>
        <w:rPr>
          <w:rFonts w:ascii="Calibri" w:hAnsi="Calibri"/>
          <w:b/>
          <w:color w:val="4A6B25"/>
          <w:sz w:val="20"/>
        </w:rPr>
        <w:t xml:space="preserve">2. </w:t>
      </w:r>
      <w:r>
        <w:rPr>
          <w:rFonts w:ascii="Calibri" w:hAnsi="Calibri"/>
          <w:b w:val="0"/>
          <w:color w:val="3A4A28"/>
          <w:sz w:val="20"/>
        </w:rPr>
        <w:t>D/E of 1,239% from repo-financed MBS and MSR positions creates high sensitivity to interest-rate moves, credit-spread widening, and margin-call risk during volatile rate environments</w:t>
      </w:r>
    </w:p>
    <w:p>
      <w:pPr>
        <w:spacing w:before="40" w:after="40"/>
        <w:ind w:left="283"/>
      </w:pPr>
      <w:r>
        <w:rPr>
          <w:rFonts w:ascii="Calibri" w:hAnsi="Calibri"/>
          <w:b/>
          <w:color w:val="4A6B25"/>
          <w:sz w:val="20"/>
        </w:rPr>
        <w:t xml:space="preserve">3. </w:t>
      </w:r>
      <w:r>
        <w:rPr>
          <w:rFonts w:ascii="Calibri" w:hAnsi="Calibri"/>
          <w:b w:val="0"/>
          <w:color w:val="3A4A28"/>
          <w:sz w:val="20"/>
        </w:rPr>
        <w:t>Externally-managed REIT structure and affiliation with PennyMac Financial Services creates potential conflicts of interest in capital allocation and fee arrangements that are not independently governed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B8860B"/>
          <w:sz w:val="16"/>
        </w:rPr>
        <w:t xml:space="preserve"> MODERATE </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(6/9): PMT's core business — holding and hedging MBS, MSRs, and credit-risk-transfer positions under REIT tax rules — is a capital-markets and balance-sheet function that AI tools cannot directly replace, giving it structural protection, though the affiliated Correspondent Production loan-origination segment faces gradual disintermediation risk from AI-driven fintech underwriting and direct-to-consumer digital lenders; no analyst commentary specifically addressing PMT's AI exposure was found [1]. AI Opportunity (0/1): No quantified AI-related revenue or efficiency gains were disclosed for PMT or its correspondent production segment.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31</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Ethical Sales Practices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Product Sustainability </w:t>
      </w:r>
      <w:r>
        <w:rPr>
          <w:rFonts w:ascii="Calibri" w:hAnsi="Calibri"/>
          <w:b w:val="0"/>
          <w:color w:val="9DAF88"/>
          <w:sz w:val="17"/>
        </w:rPr>
        <w:t xml:space="preserve">  ·  </w:t>
      </w:r>
      <w:r>
        <w:rPr>
          <w:rFonts w:ascii="Calibri" w:hAnsi="Calibri"/>
          <w:b/>
          <w:color w:val="16A34A"/>
          <w:sz w:val="17"/>
        </w:rPr>
        <w:t xml:space="preserve"> Regulatory Adherence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PennyMac Mortgage Investment Trust Q1 2026 and Full-Year 2025 Results — PMT Investor Relations, SEC 10-Q/8-K Filings, 2026</w:t>
      </w:r>
    </w:p>
    <w:p>
      <w:pPr>
        <w:spacing w:before="20" w:after="20"/>
        <w:ind w:left="170"/>
      </w:pPr>
      <w:r>
        <w:rPr>
          <w:rFonts w:ascii="Calibri" w:hAnsi="Calibri"/>
          <w:b/>
          <w:color w:val="4A6B25"/>
          <w:sz w:val="15"/>
        </w:rPr>
        <w:t xml:space="preserve">2. </w:t>
      </w:r>
      <w:r>
        <w:rPr>
          <w:rFonts w:ascii="Calibri" w:hAnsi="Calibri"/>
          <w:b w:val="0"/>
          <w:color w:val="3A4A28"/>
          <w:sz w:val="17"/>
        </w:rPr>
        <w:t>PennyMac Glassdoor Reviews and Leadership Profile (David Spector, CEO) — Glassdoor, National Mortgage News, 2025-2026</w:t>
      </w:r>
    </w:p>
    <w:p>
      <w:pPr>
        <w:spacing w:before="20" w:after="20"/>
        <w:ind w:left="170"/>
      </w:pPr>
      <w:r>
        <w:rPr>
          <w:rFonts w:ascii="Calibri" w:hAnsi="Calibri"/>
          <w:b/>
          <w:color w:val="4A6B25"/>
          <w:sz w:val="15"/>
        </w:rPr>
        <w:t xml:space="preserve">3. </w:t>
      </w:r>
      <w:r>
        <w:rPr>
          <w:rFonts w:ascii="Calibri" w:hAnsi="Calibri"/>
          <w:b w:val="0"/>
          <w:color w:val="3A4A28"/>
          <w:sz w:val="17"/>
        </w:rPr>
        <w:t>PennyMac ESG Disclosures and Risk Factors — SEC 10-K Filings, 2020-2023</w:t>
      </w:r>
    </w:p>
    <w:p>
      <w:pPr>
        <w:spacing w:before="20" w:after="20"/>
        <w:ind w:left="170"/>
      </w:pPr>
      <w:r>
        <w:rPr>
          <w:rFonts w:ascii="Calibri" w:hAnsi="Calibri"/>
          <w:b/>
          <w:color w:val="4A6B25"/>
          <w:sz w:val="15"/>
        </w:rPr>
        <w:t xml:space="preserve">4. </w:t>
      </w:r>
      <w:r>
        <w:rPr>
          <w:rFonts w:ascii="Calibri" w:hAnsi="Calibri"/>
          <w:b w:val="0"/>
          <w:color w:val="3A4A28"/>
          <w:sz w:val="17"/>
        </w:rPr>
        <w:t>Yahoo Finance — PMT key statistics: Forward P/E 6.01x, D/E 1,239%, Dividend Yield 19.21%, Payout Ratio 111%,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