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PNR</w:t>
      </w:r>
      <w:r>
        <w:rPr>
          <w:rFonts w:ascii="Calibri" w:hAnsi="Calibri"/>
          <w:b/>
          <w:color w:val="1A2010"/>
          <w:sz w:val="40"/>
        </w:rPr>
        <w:t xml:space="preserve">  Pentair plc</w:t>
      </w:r>
    </w:p>
    <w:p>
      <w:pPr>
        <w:spacing w:after="120"/>
      </w:pPr>
      <w:r>
        <w:rPr>
          <w:rFonts w:ascii="Calibri" w:hAnsi="Calibri"/>
          <w:b/>
          <w:color w:val="6E8450"/>
          <w:sz w:val="18"/>
        </w:rPr>
        <w:t>GROWTH SLEEVE · 2026-09-17 · Inspire: 62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Specialty Industrial Machinery · NYSE · United Kingdom</w:t>
      </w:r>
    </w:p>
    <w:p>
      <w:pPr>
        <w:spacing w:after="80"/>
      </w:pPr>
      <w:r>
        <w:rPr>
          <w:rFonts w:ascii="Calibri" w:hAnsi="Calibri"/>
          <w:b w:val="0"/>
          <w:color w:val="3A4A28"/>
          <w:sz w:val="20"/>
        </w:rPr>
        <w:t>Pentair plc provides water treatment and fluid-management solutions across three segments -- Flow, Water Solutions, and Pool -- serving residential, commercial, and industrial customers globally under brands including Pentair, Aurora, Everpure, Fleck, and Sta-Rite. Under CEO John Stauch, Pentair has driven consistent margin expansion via the Pentair Business System, but Q2 2026 results were hit hard by an estimated $250M Pool-segment inventory destocking cycle among major channel partners, forcing a full-year guidance cut and a roughly 17% year-over-year sales decline in the quarter [1][2]. The company recently created a new Chief Strategy, Innovation and Digital Officer role while eliminating its standalone CTO position amid a broader executive leadership transition, including an incoming CFO [3].</w:t>
      </w:r>
    </w:p>
    <w:p>
      <w:r>
        <w:rPr>
          <w:rFonts w:ascii="Calibri" w:hAnsi="Calibri"/>
          <w:b/>
          <w:color w:val="6E8450"/>
          <w:sz w:val="18"/>
        </w:rPr>
        <w:t>9,000 Employees · https://www.pentair.com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Pentair delivered consistent EPS growth guidance through early 2026 (GAAP EPS guided up 26-30%) via the Pentair Business System before the Pool destocking shock forced a guidance cut, showing operational execution strength that was overwhelmed by an exogenous channel-inventory event rather than a self-inflicted failure [1][2]. AI Deployment (1/2): Pentair created a new EVP Chief Strategy, Innovation and Digital Officer role explicitly to lead AI and emerging-technology strategy, but the restructuring is described by outside analysts as 'evolutionary rather than disruptive,' with no shipped AI product yet [3]. Market Share (1/2): Pentair holds strong niche leadership in pool equipment and select water-treatment categories, reinforced by the recently announced Taco Comfort Solutions platform expansion, though it lacks category dominance across all three segments [3]. Product Pipeline (1/2): The Taco acquisition broadens the Flow platform, but no major new product launches with quantified revenue contribution were identified for 2026. R&amp;D Intensity (0/1): The March 2026 restructuring eliminated the standalone Chief Technology Officer role, folding Innovation and Sustainability functions under the new Chief Strategy, Innovation and Digital Officer -- a signal of de-emphasis on dedicated technical R&amp;D leadership rather than increased investment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Pentair's focus on smart, sustainable water solutions connects meaningfully to the global water-scarcity megatrend, but the mission statement is not markedly more distinctive than water-treatment peers such as Xylem or A.O. Smith. Community Impact (1/2): Pentair holds an MSCI AA ESG rating and maintains a dedicated Chief Social Responsibility Officer role overseeing GHG, energy, and water-efficiency commitments, representing solid but standard large-cap ESG practice [4]. Employee Retention (0/2): The March 2026 restructuring saw two ~20-year Pentair veterans -- the Chief Supply Chain/Transformation Officer and the Chief Technology Officer -- depart in the same window as a CFO transition, a negative signal for leadership continuity rather than evidence of strong retention [3]. Insider Buying (0/2): No meaningful net insider buying was identified in the research period.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as a Growth stock (yield of 1.88% falls just under the 2% dividend-sleeve threshold despite Pentair's long dividend-growth history). Balance sheet and profitability metrics are strong -- D/E of 47.1% is well below the 70% target, Forward P/E of 10.9x and PEG of 0.90 both clear their targets comfortably, and ROE of 17.1% exceeds the 15% target [4]. The composite score is held back almost entirely by revenue growth YoY of -17%, which scores near the floor and directly reflects the ~$170M Q2 2026 Pool-segment destocking hit that also cut operating income by roughly $105M in the quarter -- a real, current headwind not yet visible in trailing ROE or margin figures [2]. Liquidity is not a concern at ~$189M average daily dollar volume (3.35M shares x $56.46).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Pentair's connection to the global water-scarcity megatrend gives it a genuine Just Cause, and management's transparent disclosure of the Pool destocking hit and guidance cut -- rather than obscuring it -- reflects a degree of honest leadership under pressure. However, the simultaneous departure of two ~20-year veteran executives alongside a CFO transition in the same restructuring window is a meaningful trust and continuity concern, and the new innovation/digital strategy is still characterized externally as evolutionary rather than transformative, keeping Pentair in mixed territory.</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Pentair's positioning around smart, sustainable water treatment ties directly to a genuine, durable global need (water scarcity and quality), and the company has sustained multi-year margin-expansion investment via the Pentair Business System in service of that positioning, though the cause is not as distinctively differentiated from peers as Sinek's highest bar requires.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concurrent departure of the ~20-year Chief Supply Chain/Transformation Officer and Chief Technology Officer, layered on top of a CFO transition disclosed in the same period as the Q2 guidance cut, signals meaningful leadership churn and potential organizational strain rather than a stable, high-trust executive bench [3].</w:t>
      </w:r>
    </w:p>
    <w:p>
      <w:pPr>
        <w:spacing w:before="200" w:after="40"/>
      </w:pPr>
      <w:r>
        <w:rPr>
          <w:rFonts w:ascii="Calibri" w:hAnsi="Calibri"/>
          <w:b/>
          <w:color w:val="1A2010"/>
          <w:sz w:val="22"/>
        </w:rPr>
        <w:t>Worthy Rivals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Pentair competes with Xylem, A.O. Smith, and Ecolab in water treatment and pursued the Taco acquisition as platform expansion rather than a predatory move against a direct competitor, consistent with a learning-oriented competitive posture.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Creating a dedicated Chief Strategy, Innovation and Digital Officer role and pursuing the Taco Comfort Solutions platform acquisition shows adaptive intent, but outside analysts characterize the restructuring as 'evolutionary rather than disruptive,' short of a genuine business-model reinvention [3].</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Management proactively disclosed the ~$250M Pool destocking impact and cut full-year guidance rather than delaying bad news, which is a credible act of transparency, but the disclosure was market-forced by a channel-inventory shock rather than a proactive strategic sacrifice initiated by leadership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Pentair's balance sheet and core profitability remain strong -- D/E of 47.1%, ROE of 17.1%, and a PEG of just 0.90 at 10.9x forward earnings -- reflecting years of margin discipline via the Pentair Business System across its Flow, Water Solutions, and Pool segments [4]. The Q2 2026 Pool-segment destocking shock (~$170M sales hit, ~$105M operating income hit) is explicitly characterized by management as a temporary channel-inventory correction, with normalization expected in 2027 as distributors prepare for the next pool season, and the underlying secular case for water treatment and conservation remains intact [2]. The recently completed Taco Comfort Solutions acquisition expands the Flow platform, and Pentair's MSCI AA ESG rating and high Inspire Impact Score of 62 support broad allocator appeal.</w:t>
      </w:r>
    </w:p>
    <w:p>
      <w:pPr>
        <w:spacing w:after="120"/>
      </w:pPr>
      <w:r>
        <w:rPr>
          <w:rFonts w:ascii="Calibri" w:hAnsi="Calibri"/>
          <w:b w:val="0"/>
          <w:color w:val="3A4A28"/>
          <w:sz w:val="20"/>
        </w:rPr>
        <w:t>The bear case centers on execution risk during a period of real organizational disruption: full-year 2026 sales guidance was cut from +2-4% to a 4-7% decline, driven primarily by Pool (now guided down 18-22% versus a prior outlook of low-single-digit growth), and this hit coincided with the departure of two ~20-year veteran executives (CTO, Chief Supply Chain/Transformation Officer) and an incoming CFO in the same window -- an unusual amount of leadership churn to absorb simultaneously with a demand shock [2][3]. If Pool destocking proves more structural than management's 'temporary, normalizing in 2027' framing suggests -- for instance if it reflects softening consumer discretionary spend on pools rather than pure channel inventory -- the currently cheap valuation (PEG 0.90) could prove to be a value trap rather than a buying opportunity. Innovation and inspiration scores remain modest, reflecting an incremental rather than transformative strategic posture.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Management's explicit expectation that Pool destocking headwinds ease through 2026 and the segment returns to normalized performance in 2027 would remove the primary overhang currently depressing revenue growth and the stock [2]</w:t>
      </w:r>
    </w:p>
    <w:p>
      <w:pPr>
        <w:spacing w:before="40" w:after="40"/>
        <w:ind w:left="283"/>
      </w:pPr>
      <w:r>
        <w:rPr>
          <w:rFonts w:ascii="Calibri" w:hAnsi="Calibri"/>
          <w:b/>
          <w:color w:val="4A6B25"/>
          <w:sz w:val="20"/>
        </w:rPr>
        <w:t xml:space="preserve">2. </w:t>
      </w:r>
      <w:r>
        <w:rPr>
          <w:rFonts w:ascii="Calibri" w:hAnsi="Calibri"/>
          <w:b w:val="0"/>
          <w:color w:val="3A4A28"/>
          <w:sz w:val="20"/>
        </w:rPr>
        <w:t>Taco Comfort Solutions integration expanding the Flow platform's addressable market and cross-sell opportunities within Pentair's existing commercial and residential water-management customer base [2]</w:t>
      </w:r>
    </w:p>
    <w:p>
      <w:pPr>
        <w:spacing w:before="40" w:after="40"/>
        <w:ind w:left="283"/>
      </w:pPr>
      <w:r>
        <w:rPr>
          <w:rFonts w:ascii="Calibri" w:hAnsi="Calibri"/>
          <w:b/>
          <w:color w:val="4A6B25"/>
          <w:sz w:val="20"/>
        </w:rPr>
        <w:t xml:space="preserve">3. </w:t>
      </w:r>
      <w:r>
        <w:rPr>
          <w:rFonts w:ascii="Calibri" w:hAnsi="Calibri"/>
          <w:b w:val="0"/>
          <w:color w:val="3A4A28"/>
          <w:sz w:val="20"/>
        </w:rPr>
        <w:t>New Chief Strategy, Innovation and Digital Officer mandate translating into shipped AI-enabled products or measurable digital revenue would validate the 2026 leadership restructuring and support re-rating of the innovation score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Pool segment destocking guided to cut FY2026 sales by 18-22%, and if the correction proves more structural (weaker underlying consumer pool demand) than a pure channel-inventory issue, the 'normalize in 2027' thesis could disappoint [2]</w:t>
      </w:r>
    </w:p>
    <w:p>
      <w:pPr>
        <w:spacing w:before="40" w:after="40"/>
        <w:ind w:left="283"/>
      </w:pPr>
      <w:r>
        <w:rPr>
          <w:rFonts w:ascii="Calibri" w:hAnsi="Calibri"/>
          <w:b/>
          <w:color w:val="4A6B25"/>
          <w:sz w:val="20"/>
        </w:rPr>
        <w:t xml:space="preserve">2. </w:t>
      </w:r>
      <w:r>
        <w:rPr>
          <w:rFonts w:ascii="Calibri" w:hAnsi="Calibri"/>
          <w:b w:val="0"/>
          <w:color w:val="3A4A28"/>
          <w:sz w:val="20"/>
        </w:rPr>
        <w:t>Simultaneous departure of two ~20-year veteran executives (CTO, Chief Supply Chain/Transformation Officer) alongside a CFO transition concentrates execution risk on a reshuffled leadership team during an already difficult demand environment [3]</w:t>
      </w:r>
    </w:p>
    <w:p>
      <w:pPr>
        <w:spacing w:before="40" w:after="40"/>
        <w:ind w:left="283"/>
      </w:pPr>
      <w:r>
        <w:rPr>
          <w:rFonts w:ascii="Calibri" w:hAnsi="Calibri"/>
          <w:b/>
          <w:color w:val="4A6B25"/>
          <w:sz w:val="20"/>
        </w:rPr>
        <w:t xml:space="preserve">3. </w:t>
      </w:r>
      <w:r>
        <w:rPr>
          <w:rFonts w:ascii="Calibri" w:hAnsi="Calibri"/>
          <w:b w:val="0"/>
          <w:color w:val="3A4A28"/>
          <w:sz w:val="20"/>
        </w:rPr>
        <w:t>Revenue growth YoY of -17% is the single largest drag on the mechanical Infrastructure score, and a prolonged destocking cycle would keep pressuring this metric even as balance-sheet ratios remain healthy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Pentair's business -- engineered pumps, filtration systems, and physical water-treatment equipment -- is structurally protected from AI substitution since it requires physical manufacturing, installation, and service, and secular water-scarcity/regulatory demand is durable regardless of AI adoption cycles. AI Opportunity (0/1): The new Chief Strategy, Innovation and Digital Officer role explicitly covers AI strategy, but no shipped AI-enabled product or quantified digital revenue was identified, and the CTO role elimination in the same restructuring raises questions about near-term technical execution capacity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Pentair Q4 2025 and Q1 2026 earnings releases and FY2026 initial guidance -- investors.pentair.com, BusinessWire, February-April 2026</w:t>
      </w:r>
    </w:p>
    <w:p>
      <w:pPr>
        <w:spacing w:before="20" w:after="20"/>
        <w:ind w:left="170"/>
      </w:pPr>
      <w:r>
        <w:rPr>
          <w:rFonts w:ascii="Calibri" w:hAnsi="Calibri"/>
          <w:b/>
          <w:color w:val="4A6B25"/>
          <w:sz w:val="15"/>
        </w:rPr>
        <w:t xml:space="preserve">2. </w:t>
      </w:r>
      <w:r>
        <w:rPr>
          <w:rFonts w:ascii="Calibri" w:hAnsi="Calibri"/>
          <w:b w:val="0"/>
          <w:color w:val="3A4A28"/>
          <w:sz w:val="17"/>
        </w:rPr>
        <w:t>Pentair Q2 2026 preliminary results, Pool destocking impact, and guidance cut -- Yahoo Finance, Benzinga, Investing.com, 247wallst.com, July 2026</w:t>
      </w:r>
    </w:p>
    <w:p>
      <w:pPr>
        <w:spacing w:before="20" w:after="20"/>
        <w:ind w:left="170"/>
      </w:pPr>
      <w:r>
        <w:rPr>
          <w:rFonts w:ascii="Calibri" w:hAnsi="Calibri"/>
          <w:b/>
          <w:color w:val="4A6B25"/>
          <w:sz w:val="15"/>
        </w:rPr>
        <w:t xml:space="preserve">3. </w:t>
      </w:r>
      <w:r>
        <w:rPr>
          <w:rFonts w:ascii="Calibri" w:hAnsi="Calibri"/>
          <w:b w:val="0"/>
          <w:color w:val="3A4A28"/>
          <w:sz w:val="17"/>
        </w:rPr>
        <w:t>Pentair executive leadership transition -- investors.pentair.com, Simply Wall St, CTO/Chief Supply Chain Officer departures and new Chief Strategy, Innovation and Digital Officer role, February-March 2026</w:t>
      </w:r>
    </w:p>
    <w:p>
      <w:pPr>
        <w:spacing w:before="20" w:after="20"/>
        <w:ind w:left="170"/>
      </w:pPr>
      <w:r>
        <w:rPr>
          <w:rFonts w:ascii="Calibri" w:hAnsi="Calibri"/>
          <w:b/>
          <w:color w:val="4A6B25"/>
          <w:sz w:val="15"/>
        </w:rPr>
        <w:t xml:space="preserve">4. </w:t>
      </w:r>
      <w:r>
        <w:rPr>
          <w:rFonts w:ascii="Calibri" w:hAnsi="Calibri"/>
          <w:b w:val="0"/>
          <w:color w:val="3A4A28"/>
          <w:sz w:val="17"/>
        </w:rPr>
        <w:t>Pentair ESG ratings and social responsibility program -- KnowESG (MSCI AA rating), Pentair Corporate Responsibility Report,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yfinance -- PNR key statistics: D/E 47.1%, ROE 17.1%, Forward P/E 10.92, PEG 0.90, dividend yield 1.88%,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