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PNW</w:t>
      </w:r>
      <w:r>
        <w:rPr>
          <w:rFonts w:ascii="Calibri" w:hAnsi="Calibri"/>
          <w:b/>
          <w:color w:val="1A2010"/>
          <w:sz w:val="40"/>
        </w:rPr>
        <w:t xml:space="preserve">  Pinnacle West Capital Corporation</w:t>
      </w:r>
    </w:p>
    <w:p>
      <w:pPr>
        <w:spacing w:after="120"/>
      </w:pPr>
      <w:r>
        <w:rPr>
          <w:rFonts w:ascii="Calibri" w:hAnsi="Calibri"/>
          <w:b/>
          <w:color w:val="6E8450"/>
          <w:sz w:val="18"/>
        </w:rPr>
        <w:t>DIVIDEND SLEEVE · 2026-09-24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Pinnacle West Capital Corporation, through its principal subsidiary Arizona Public Service Company (APS), provides retail and wholesale electric services across Arizona. The company operates nuclear, gas, solar, and energy storage generating facilities, along with extensive transmission and distribution infrastructure. Under CEO Ted Geisler (appointed April 2025), the company is executing the largest transmission and generation expansion in its history, driven by explosive Arizona demand growth from data centers, semiconductor manufacturing (TSMC's $100B+ Arizona investment), and population migration. FY2026 EPS guidance is $4.55-$4.75 with a pending $694M rate case before the Arizona Corporation Commission.</w:t>
      </w:r>
    </w:p>
    <w:p>
      <w:r>
        <w:rPr>
          <w:rFonts w:ascii="Calibri" w:hAnsi="Calibri"/>
          <w:b/>
          <w:color w:val="6E8450"/>
          <w:sz w:val="18"/>
        </w:rPr>
        <w:t>6,610 Employees · https://www.pinnaclewest.com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Pinnacle West is executing the largest transmission and generation expansion in company history to serve Arizona's explosive load growth, including new solar facilities and battery storage deployments [1]. However, this is demand-responsive infrastructure build-out, not proactive product innovation — the company is responding to external demand from TSMC, data centers, and population growth rather than creating new markets. AI Deployment (0/2): No AI-powered products or quantifiable AI-driven operational savings have been reported. The company has not disclosed AI strategy beyond general grid modernization [3]. Market Share (1/2): APS holds a regulated monopoly in its Arizona service territory, serving all customers within its geography. Customer growth reached 2.1% in Q2 2026, above management's guidance midpoint [1]. However, this is a regulatory franchise, not competitively earned market share. Product Pipeline (1/2): Specific grid expansion projects include new transmission lines, generation capacity additions, and energy storage installations to support projected 9.6% retail sales growth, with visibility into TSMC-driven demand through the late 2020s [1][3]. R&amp;D Intensity (0/1): Regulated utilities generally invest minimally in R&amp;D relative to revenue, relying instead on capital expenditure for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Pinnacle West's stated purpose centers on providing reliable, affordable, and increasingly clean energy to Arizona — a clear, service-oriented mission that identifies what the company does and for whom. CEO Ted Geisler's emphasis on 'doing hard things' to support Arizona's growth connects the company's work to community development, but the mission does not articulate a deeper purpose beyond utility service delivery [3]. Community Impact (1/2): As Arizona's largest electric utility, APS operates community programs including charitable giving, educational initiatives, and emergency assistance for low-income customers. However, specific dollar amounts for community investment were not identified in current disclosures [1]. Employee Retention (0/2): No specific employee retention, tenure, or voluntary turnover data was found. The company employs 6,610 people with stated focus on talent development and succession planning, but no quantifiable evidence of above-average retention [3]. Insider Buying (0/2): No evidence of meaningful net insider buying by CEO Geisler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Pinnacle West's regulated utility profile produces mixed infrastructure metrics. D/E of 233.3% is high (score 0.29), typical of capital-intensive regulated utilities with large rate bases, but concerning relative to the 70% target [5]. ROE of 9.4% is below the 15% target (score 0.62), constrained by regulatory returns and the pending rate case outcome [1]. Revenue growth YoY of 7.1% scores 0.90, reflecting strong Arizona load growth. Forward P/E of 16.54 scores 1.0 as a clear value relative to the 20x target. Profit margin of 11.5% scores 0.58, typical of regulated utilities. Among dividend metrics, the 33-year consecutive payment history scores 1.0 (2x weighted), and 13 consecutive years of growth (since 2012) scores 1.0 [5]. The primary dividend drags are a 69.6% payout ratio (score 0.51) and a modest 5-year dividend growth CAGR of 2.5% (score 0.42, 2x weighted). The stock clears the liquidity floor at approximately $104.4M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Pinnacle West operates with a mixed-to-finite mindset. The company benefits from a structural advantage as Arizona's regulated electric monopoly, which creates long-term durability regardless of management quality. CEO Ted Geisler's emphasis on the largest grid expansion in company history demonstrates commitment to long-term infrastructure investment, and the 13-year consecutive dividend growth streak suggests financial discipline [1][5]. However, the company operates within a regulatory framework that constrains existential flexibility, and the ESG controversy around misleading Paris Agreement claims reveals finite-game reputation management rather than genuine environmental commitment [4].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Pinnacle West's cause — providing reliable, affordable, and clean energy to power Arizona's growth — is genuine and service-oriented, connecting the company's work to community development and economic prosperity [3]. CEO Geisler's 'we do hard things' framing positions grid expansion as a mission-driven challenge rather than mere capital deployment. However, the cause has not been tested through crisis or multi-decade consistency under current leadership (Geisler appointed April 2025), and the misleading ESG claims undermine the environmental component of the purpose statement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Pinnacle West maintains organizational stability with 6,610 employees and an explicit focus on talent development and succession planning [3]. The CEO transition from Jeff Guldner to Ted Geisler was orderly, reflecting institutional maturity. However, no specific evidence of exceptional trust, long average tenure, or employee empowerment was identified. The company appears to maintain an adequate working environment without standout cultural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Pinnacle West does not compete for customers in the traditional sense. The company's competitive language in earnings calls focuses on regulatory outcomes, rate case proceedings, and operational metrics rather than learning from peers' strengths [1]. The regulated utility model inherently limits the relevance of competitive dynamics, but there is no evidence of studying best practices from peer utilities like NextEra or Southern Company.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Pinnacle West is investing in the energy transition through solar generation, battery storage, and grid modernization to accommodate data center demand [1][3]. The pivot from coal-heavy generation toward a diversified mix demonstrates incremental adaptation. However, the company has not established 2030 decarbonization goals — one of only five major investor-owned utilities without such targets — suggesting limited willingness to make transformative commitments [4]. These moves are industry-standard regulatory compliance rather than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Pinnacle West is pursuing a $694M rate case with a 10.70% requested ROE and $13.1B rate base — a significant regulatory bet that requires upfront capital investment before receiving rate recovery [2]. The largest grid expansion in company history represents billions in long-term infrastructure investment. However, regulated utilities operate with relatively low financial risk given guaranteed service territories and cost recovery mechanisms, diminishing the courage required compared to competitive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Pinnacle West offers a compelling regulated utility thesis centered on Arizona's explosive economic growth. Retail electricity sales grew 9.6% YoY in Q2 2026, driven by 2.1% customer growth from data center buildout, TSMC's $100B+ semiconductor investment, and continued population migration to the Phoenix metropolitan area [1]. At 16.54x forward earnings with a 3.95% dividend yield and 13 consecutive years of dividend growth, PNW provides stable income with visible demand growth that most utilities lack [5]. The pending $694M rate case, if approved near request levels, would increase the rate base to $13.1B and support continued earnings growth within the $4.55-$4.75 FY2026 EPS guidance range [2]. AI-driven data center load growth provides a secular tailwind that could sustain above-average utility growth for the next decade.</w:t>
      </w:r>
    </w:p>
    <w:p>
      <w:pPr>
        <w:spacing w:after="120"/>
      </w:pPr>
      <w:r>
        <w:rPr>
          <w:rFonts w:ascii="Calibri" w:hAnsi="Calibri"/>
          <w:b w:val="0"/>
          <w:color w:val="3A4A28"/>
          <w:sz w:val="20"/>
        </w:rPr>
        <w:t>The bear case centers on regulatory risk, high leverage, and valuation relative to utility peers. The Arizona Corporation Commission's final decision on the rate case (expected late 2026) introduces binary risk — staff's revenue recommendation falls below Pinnacle West's filing due to lower cost of capital allowances, and an unfavorable outcome could limit earnings growth and threaten dividend growth continuation [2]. D/E of 233.3% is high even for a utility, and the company's negative free cash flow (-$930M trailing) reflects massive capital expenditure requirements that require continuous debt issuance [5]. ROE of 9.4% is below the 15% target and constrained by regulatory returns. The 5-year dividend growth CAGR of just 2.5% barely keeps pace with inflation, and the stock has declined from $99.90 (50-day SMA) to $92.05, underperforming utility peers [5]. The ESG controversy around misleading Paris Agreement claims (no 2030 decarbonization goals despite public sustainability rhetoric) could create reputational and regulatory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TSMC's $100B+ Arizona investment and expanding data center operations are projected to drive substantial incremental electricity demand through the late 2020s, providing Pinnacle West with secular load growth visibility that most regulated utilities lack [1][3]</w:t>
      </w:r>
    </w:p>
    <w:p>
      <w:pPr>
        <w:spacing w:before="40" w:after="40"/>
        <w:ind w:left="283"/>
      </w:pPr>
      <w:r>
        <w:rPr>
          <w:rFonts w:ascii="Calibri" w:hAnsi="Calibri"/>
          <w:b/>
          <w:color w:val="4A6B25"/>
          <w:sz w:val="20"/>
        </w:rPr>
        <w:t xml:space="preserve">2. </w:t>
      </w:r>
      <w:r>
        <w:rPr>
          <w:rFonts w:ascii="Calibri" w:hAnsi="Calibri"/>
          <w:b w:val="0"/>
          <w:color w:val="3A4A28"/>
          <w:sz w:val="20"/>
        </w:rPr>
        <w:t>Favorable resolution of the $694M rate case before the Arizona Corporation Commission would establish a $13.1B rate base and support continued 4-6% EPS growth, with staff testimony on equity ratio providing a constructive baseline [2]</w:t>
      </w:r>
    </w:p>
    <w:p>
      <w:pPr>
        <w:spacing w:before="40" w:after="40"/>
        <w:ind w:left="283"/>
      </w:pPr>
      <w:r>
        <w:rPr>
          <w:rFonts w:ascii="Calibri" w:hAnsi="Calibri"/>
          <w:b/>
          <w:color w:val="4A6B25"/>
          <w:sz w:val="20"/>
        </w:rPr>
        <w:t xml:space="preserve">3. </w:t>
      </w:r>
      <w:r>
        <w:rPr>
          <w:rFonts w:ascii="Calibri" w:hAnsi="Calibri"/>
          <w:b w:val="0"/>
          <w:color w:val="3A4A28"/>
          <w:sz w:val="20"/>
        </w:rPr>
        <w:t>Customer growth of 2.1% (above guidance midpoint) and 9.6% retail sales growth demonstrate that Arizona's economic boom is translating into sustained utility demand, supporting the company's capital expenditure plans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Arizona Corporation Commission rate case outcome (expected late 2026) carries binary risk — staff's revenue recommendation is below the company's $694M request, and an unfavorable ruling could constrain earnings growth and dividend increases for the next rate cycle [2]</w:t>
      </w:r>
    </w:p>
    <w:p>
      <w:pPr>
        <w:spacing w:before="40" w:after="40"/>
        <w:ind w:left="283"/>
      </w:pPr>
      <w:r>
        <w:rPr>
          <w:rFonts w:ascii="Calibri" w:hAnsi="Calibri"/>
          <w:b/>
          <w:color w:val="4A6B25"/>
          <w:sz w:val="20"/>
        </w:rPr>
        <w:t xml:space="preserve">2. </w:t>
      </w:r>
      <w:r>
        <w:rPr>
          <w:rFonts w:ascii="Calibri" w:hAnsi="Calibri"/>
          <w:b w:val="0"/>
          <w:color w:val="3A4A28"/>
          <w:sz w:val="20"/>
        </w:rPr>
        <w:t>D/E of 233.3% and negative free cash flow of -$930M require continuous capital markets access to fund the largest grid expansion in company history, exposing the company to interest rate risk and potential credit rating pressure [5]</w:t>
      </w:r>
    </w:p>
    <w:p>
      <w:pPr>
        <w:spacing w:before="40" w:after="40"/>
        <w:ind w:left="283"/>
      </w:pPr>
      <w:r>
        <w:rPr>
          <w:rFonts w:ascii="Calibri" w:hAnsi="Calibri"/>
          <w:b/>
          <w:color w:val="4A6B25"/>
          <w:sz w:val="20"/>
        </w:rPr>
        <w:t xml:space="preserve">3. </w:t>
      </w:r>
      <w:r>
        <w:rPr>
          <w:rFonts w:ascii="Calibri" w:hAnsi="Calibri"/>
          <w:b w:val="0"/>
          <w:color w:val="3A4A28"/>
          <w:sz w:val="20"/>
        </w:rPr>
        <w:t>Failure to establish 2030 decarbonization goals (one of only five major investor-owned utilities without such targets) creates ESG and regulatory risk as environmental standards tighten for the electric utility sector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Pinnacle West's regulated electric utility business is structurally immune to AI disruption — AI cannot replace physical electricity generation, transmission, and distribution infrastructure [3]. More critically, AI is a direct demand driver for the company's core product: data centers powering AI workloads require massive electricity consumption, and Arizona is a prime destination for data center buildout. CEO Geisler has stated publicly that Arizona's grid is ready to support AI-driven growth, and TSMC's $100B+ semiconductor investment in Arizona will drive substantial incremental electricity demand [3]. Retail electricity sales grew 9.6% YoY in Q2 2026, with data center and semiconductor manufacturing load contributing meaningfully [1]. Regulated monopoly status means no AI-enabled competitor can enter APS's service territory. AI Opportunity (0/1): Pinnacle West does not generate revenue from AI products directly. While AI-driven load growth increases electricity sales, the company itself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Pinnacle West Capital Q2 2026 Earnings Call — Revenue $1.46B (+7.1% YoY), Retail Sales +9.6%, Customer Growth 2.1%, FY2026 EPS Guidance $4.55-$4.75, August 2026</w:t>
      </w:r>
    </w:p>
    <w:p>
      <w:pPr>
        <w:spacing w:before="20" w:after="20"/>
        <w:ind w:left="170"/>
      </w:pPr>
      <w:r>
        <w:rPr>
          <w:rFonts w:ascii="Calibri" w:hAnsi="Calibri"/>
          <w:b/>
          <w:color w:val="4A6B25"/>
          <w:sz w:val="15"/>
        </w:rPr>
        <w:t xml:space="preserve">2. </w:t>
      </w:r>
      <w:r>
        <w:rPr>
          <w:rFonts w:ascii="Calibri" w:hAnsi="Calibri"/>
          <w:b w:val="0"/>
          <w:color w:val="3A4A28"/>
          <w:sz w:val="17"/>
        </w:rPr>
        <w:t>Pinnacle West / APS Rate Case Filing — $694M Revenue Increase Request, 10.70% Requested ROE, $13.1B Rate Base, Staff Testimony, 2025-2026</w:t>
      </w:r>
    </w:p>
    <w:p>
      <w:pPr>
        <w:spacing w:before="20" w:after="20"/>
        <w:ind w:left="170"/>
      </w:pPr>
      <w:r>
        <w:rPr>
          <w:rFonts w:ascii="Calibri" w:hAnsi="Calibri"/>
          <w:b/>
          <w:color w:val="4A6B25"/>
          <w:sz w:val="15"/>
        </w:rPr>
        <w:t xml:space="preserve">3. </w:t>
      </w:r>
      <w:r>
        <w:rPr>
          <w:rFonts w:ascii="Calibri" w:hAnsi="Calibri"/>
          <w:b w:val="0"/>
          <w:color w:val="3A4A28"/>
          <w:sz w:val="17"/>
        </w:rPr>
        <w:t>Bloomberg, Power Engineering — Pinnacle West CEO Ted Geisler on Arizona Grid AI Growth, Data Center Demand, TSMC $100B+ Investment, June 2026</w:t>
      </w:r>
    </w:p>
    <w:p>
      <w:pPr>
        <w:spacing w:before="20" w:after="20"/>
        <w:ind w:left="170"/>
      </w:pPr>
      <w:r>
        <w:rPr>
          <w:rFonts w:ascii="Calibri" w:hAnsi="Calibri"/>
          <w:b/>
          <w:color w:val="4A6B25"/>
          <w:sz w:val="15"/>
        </w:rPr>
        <w:t xml:space="preserve">4. </w:t>
      </w:r>
      <w:r>
        <w:rPr>
          <w:rFonts w:ascii="Calibri" w:hAnsi="Calibri"/>
          <w:b w:val="0"/>
          <w:color w:val="3A4A28"/>
          <w:sz w:val="17"/>
        </w:rPr>
        <w:t>Energy and Policy Institute — Pinnacle West ESG Controversy: Misleading Paris Agreement Claims, No 2030 Decarbonization Goals, One of Five Major IOUs Without Targets,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PNW Key Statistics: Forward P/E 16.54, D/E 233.3%, ROE 9.4%, Dividend Yield 3.95%, Profit Margin 11.5%, Stock Price $92.05,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