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PONY</w:t>
      </w:r>
      <w:r>
        <w:rPr>
          <w:rFonts w:ascii="Calibri" w:hAnsi="Calibri"/>
          <w:b/>
          <w:color w:val="1A2010"/>
          <w:sz w:val="40"/>
        </w:rPr>
        <w:t xml:space="preserve">  Pony AI Inc.</w:t>
      </w:r>
    </w:p>
    <w:p>
      <w:pPr>
        <w:spacing w:after="120"/>
      </w:pPr>
      <w:r>
        <w:rPr>
          <w:rFonts w:ascii="Calibri" w:hAnsi="Calibri"/>
          <w:b/>
          <w:color w:val="6E8450"/>
          <w:sz w:val="18"/>
        </w:rPr>
        <w:t>GROWTH SLEEVE · 2026-08-29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China</w:t>
      </w:r>
    </w:p>
    <w:p>
      <w:pPr>
        <w:spacing w:after="80"/>
      </w:pPr>
      <w:r>
        <w:rPr>
          <w:rFonts w:ascii="Calibri" w:hAnsi="Calibri"/>
          <w:b w:val="0"/>
          <w:color w:val="3A4A28"/>
          <w:sz w:val="20"/>
        </w:rPr>
        <w:t>Pony AI Inc. develops and deploys autonomous driving technology across three business segments: Robotaxi (driverless ride-hailing), Robotruck (autonomous trucking logistics via PonyTron), and Intelligent Solutions (technology licensing). Founded in 2016 by James Peng, the company operates fully driverless commercial services in Beijing, Guangzhou, Shenzhen, and Shanghai, with international expansion into Dubai, Doha, Seoul, Hong Kong, Singapore, and Luxembourg. Dual-listed on NASDAQ and HKEX, with partnerships with Toyota and Uber covering 2,000+ vehicles across five European cities.</w:t>
      </w:r>
    </w:p>
    <w:p>
      <w:r>
        <w:rPr>
          <w:rFonts w:ascii="Calibri" w:hAnsi="Calibri"/>
          <w:b/>
          <w:color w:val="6E8450"/>
          <w:sz w:val="18"/>
        </w:rPr>
        <w:t>1,669 Employees · https://pony.ai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Pony AI transitioned from research-stage to large-scale commercial autonomous driving deployment, with Q2 2026 revenue surging 69% YoY to $36.2M — robotaxi revenue exploded 691% to $12.1M, robotruck grew 40% to $13.3M, and the fleet reached 1,975 vehicles with fully driverless operations in four Chinese tier-1 cities [1][7]. The Uber partnership for 2,000+ robotaxis across five European cities represents a transformative go-to-market breakthrough [7]. AI Deployment (2/2): The entire product is AI-powered autonomous driving — the proprietary PonyWorld world model and Virtual Driver technology power fully driverless commercial operations generating $70.5M H1 2026 revenue, all directly attributable to AI [1][3]. Market Share (1/2): Pony AI is among a select few companies globally to achieve fully driverless commercial operations, with fleet scale approaching 2,000 vehicles, but faces intense competition from Waymo, Baidu Apollo Go, and WeRide [3]. Product Pipeline (2/2): Management targets 3,500+ vehicle fleet across 20+ cities by year-end 2026, with 4,000+ overseas vehicle commitments secured; Toyota Gen-7 bZ4X mass-production partnership enables OEM-grade manufacturing scale [5][7]. R&amp;D Intensity (1/1): Operating loss of $267.6M against $125M TTM revenue reflects extreme R&amp;D investment — spending more than double revenue on technology development [6].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Pony AI's vision of 'Autonomous Mobility Everywhere' is clear and connects autonomous driving to accessible, safe transportation globally, but is functionally interchangeable with competitors Waymo, Baidu Apollo, and WeRide in the autonomous driving space [3][4]. Community Impact (0/2): Inaugural ESG report filed in 2026 but no specific community investment programs with quantified dollar amounts identified [4]. Employee Retention (0/2): Glassdoor reviews report periodic layoffs of 5-10% of staff, work-life balance described as 'terrible' with expectations of nights and weekends, and managers firing based on personal preference — suggesting weak retention culture [3]. Insider Buying (1/2): CEO James Peng is a co-founder with significant equity stake, providing alignment, though no specific net open-market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pre-profit autonomous driving company. D/E of 1.0% is near-zero, reflecting $1.11B cash against only $19M debt — perfect score [6]. Revenue growth YoY of 45.8% (TTM) far exceeds the 10% target, driven by Q2 2026 robotaxi revenue up 691% and robotruck up 40% [1][7]. However, ROE of -6.77% (negative net income of $148M) and profit margin of -118.5% reflect deep pre-profit cash burn [6]. Forward P/E, Forward PEG, and 5yr revenue CAGR excluded as unavailable or incalculable for a pre-profit company with limited public history. Liquidity floor cleared: 3.8M avg volume x $7.58 = $28.8M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Pony AI under founder-CEO James Peng shows genuine long-term vision in autonomous mobility, persisting through the 'AV winter' when competitors like Argo AI shut down. The willingness to burn $200M+ annually pursuing L4 autonomy signals patience and conviction. The Uber partnership and Toyota collaboration reflect collaborative go-to-market rather than zero-sum competitive battles [3][5]. However, internal culture concerns from Glassdoor and the company's youth (founded 2016, no leadership transition survived) limit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'Autonomous Mobility Everywhere' describes a future state that does not yet exist — ubiquitous, safe, autonomous transportation accessible globally. Founder James Peng left Google and Baidu to pursue this cause and has committed a decade to it through multiple funding cycles and the AV industry downturn [3]. Strategic decisions — Toyota partnership, Uber European deployment, expansion to 20+ cities — trace back to this vision [5][7]. However, the company is only 10 years old and untested through leadership transitions or existential crises.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trust concerns — periodic layoffs of 5-10% of staff, managers reportedly firing based on personal preference, a political environment where a small trusted group holds influence, and work-life balance described as 'terrible' with expectations of nights and weekends [3]. These patterns suggest a low-trust environment where employees protect themselves rather than take risks in service of the mission.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James Peng consistently discusses the autonomous driving industry's collective progress rather than framing competitors as enemies to destroy. Pony AI's competitive language focuses on improving technology and expanding service coverage, and the company's partnerships (Toyota, Uber) represent collaborative go-to-market rather than zero-sum battles with Waymo or Baidu Apollo [3][5].</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Pony AI evolved from a pure robotaxi research company to a three-segment commercial platform spanning robotaxi, robotruck (PonyTron), and intelligent solutions [1]. International expansion from China-only operations to five European cities, the Middle East, and East Asia shows geographic flexibility. However, these are adjacent extensions of the same autonomous driving platform — not a transformative reinvention of the business model in Sinek's canonical sense.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James Peng committed to autonomous driving commercialization through the 2022-2023 'AV winter' when Argo AI shut down and industry funding dried up. The Uber partnership committing 2,000+ vehicles across European cities before proving profitability is a bold scaling decision [7]. However, for a pre-profit startup burning $200M+ annually, continued investment is the default survival strategy rather than a deliberate sacrifice of near-term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Pony AI is executing a compelling autonomous driving commercialization ramp with Q2 2026 revenue surging 69% YoY to $36.2M, driven by robotaxi revenue up 691% to $12.1M as the fleet reached 1,975 vehicles with fully driverless operations in four Chinese cities [1][7]. The three-segment model diversifies revenue: robotruck (PonyTron) grew 40% to $13.3M quarterly, and management targets 3,500+ vehicles in 20+ cities by year-end 2026. The Uber partnership for 2,000+ robotaxis across five European cities and the Toyota Gen-7 bZ4X mass-production deal provide manufacturing scale and distribution reach [5][7]. With $1.11B cash against minimal $19M debt, the balance sheet supports continued scaling. Analyst consensus is Strong Buy with an average target of $20.37, suggesting 169% upside from $7.58 [6].</w:t>
      </w:r>
    </w:p>
    <w:p>
      <w:pPr>
        <w:spacing w:after="120"/>
      </w:pPr>
      <w:r>
        <w:rPr>
          <w:rFonts w:ascii="Calibri" w:hAnsi="Calibri"/>
          <w:b w:val="0"/>
          <w:color w:val="3A4A28"/>
          <w:sz w:val="20"/>
        </w:rPr>
        <w:t>The bear case centers on severe cash burn — $148M net loss TTM on $125M revenue produces a -118% profit margin, and the $1.11B cash position declined from $1.5B at IPO, providing roughly 4 years of runway at current burn rates [6]. The stock has fallen 70% from its $24.92 52-week high to $7.58, pricing in substantial execution risk. At $3.29B market cap on $125M TTM revenue (26x revenue), the valuation requires sustained hyper-growth and eventual profitability that may be years away. Regulatory uncertainty across multiple jurisdictions — especially given US-China geopolitical tensions — creates deployment risk. Glassdoor reviews citing layoffs, poor work-life balance, and political internal dynamics raise organizational health concerns [3]. Competition from Waymo, Baidu Apollo, Tesla FSD, and emerging Chinese autonomous driving companies limits pricing power, and any high-profile robotaxi accident could trigger regulatory setbacks across the entire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Uber partnership deploying 2,000+ robotaxis across five European cities provides immediate Western market revenue scale and brand validation, potentially expanding to additional cities [7]</w:t>
      </w:r>
    </w:p>
    <w:p>
      <w:pPr>
        <w:spacing w:before="40" w:after="40"/>
        <w:ind w:left="283"/>
      </w:pPr>
      <w:r>
        <w:rPr>
          <w:rFonts w:ascii="Calibri" w:hAnsi="Calibri"/>
          <w:b/>
          <w:color w:val="4A6B25"/>
          <w:sz w:val="20"/>
        </w:rPr>
        <w:t xml:space="preserve">2. </w:t>
      </w:r>
      <w:r>
        <w:rPr>
          <w:rFonts w:ascii="Calibri" w:hAnsi="Calibri"/>
          <w:b w:val="0"/>
          <w:color w:val="3A4A28"/>
          <w:sz w:val="20"/>
        </w:rPr>
        <w:t>Toyota Gen-7 bZ4X mass-production partnership enables cost reduction through OEM-grade manufacturing as fleet scales toward 3,500+ vehicles and 20+ cities by year-end 2026 [5]</w:t>
      </w:r>
    </w:p>
    <w:p>
      <w:pPr>
        <w:spacing w:before="40" w:after="40"/>
        <w:ind w:left="283"/>
      </w:pPr>
      <w:r>
        <w:rPr>
          <w:rFonts w:ascii="Calibri" w:hAnsi="Calibri"/>
          <w:b/>
          <w:color w:val="4A6B25"/>
          <w:sz w:val="20"/>
        </w:rPr>
        <w:t xml:space="preserve">3. </w:t>
      </w:r>
      <w:r>
        <w:rPr>
          <w:rFonts w:ascii="Calibri" w:hAnsi="Calibri"/>
          <w:b w:val="0"/>
          <w:color w:val="3A4A28"/>
          <w:sz w:val="20"/>
        </w:rPr>
        <w:t>Robotruck (PonyTron) segment growing 40% YoY to $13.3M quarterly represents diversification into the $700B+ freight logistics market with higher revenue per vehicle than robotaxi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of $200M+ annually with -118% profit margin and uncertain profitability timeline — $1.11B cash provides approximately 4 years of runway, but additional capital raises may create dilution at $3.29B market cap [6]</w:t>
      </w:r>
    </w:p>
    <w:p>
      <w:pPr>
        <w:spacing w:before="40" w:after="40"/>
        <w:ind w:left="283"/>
      </w:pPr>
      <w:r>
        <w:rPr>
          <w:rFonts w:ascii="Calibri" w:hAnsi="Calibri"/>
          <w:b/>
          <w:color w:val="4A6B25"/>
          <w:sz w:val="20"/>
        </w:rPr>
        <w:t xml:space="preserve">2. </w:t>
      </w:r>
      <w:r>
        <w:rPr>
          <w:rFonts w:ascii="Calibri" w:hAnsi="Calibri"/>
          <w:b w:val="0"/>
          <w:color w:val="3A4A28"/>
          <w:sz w:val="20"/>
        </w:rPr>
        <w:t>Regulatory fragmentation across China, EU, and Middle East markets requires jurisdiction-by-jurisdiction permits and certifications — a high-profile accident or regulatory reversal could halt fleet scaling globally</w:t>
      </w:r>
    </w:p>
    <w:p>
      <w:pPr>
        <w:spacing w:before="40" w:after="40"/>
        <w:ind w:left="283"/>
      </w:pPr>
      <w:r>
        <w:rPr>
          <w:rFonts w:ascii="Calibri" w:hAnsi="Calibri"/>
          <w:b/>
          <w:color w:val="4A6B25"/>
          <w:sz w:val="20"/>
        </w:rPr>
        <w:t xml:space="preserve">3. </w:t>
      </w:r>
      <w:r>
        <w:rPr>
          <w:rFonts w:ascii="Calibri" w:hAnsi="Calibri"/>
          <w:b w:val="0"/>
          <w:color w:val="3A4A28"/>
          <w:sz w:val="20"/>
        </w:rPr>
        <w:t>US-China geopolitical tensions and VIE structure risk as a Cayman-incorporated company with core operations in China, potentially limiting capital market access or technology exports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Pony AI IS an AI company — autonomous driving is the core product and AI is the fundamental enabling technology [1][3]. A company cannot be disrupted by the technology it is building. The proprietary PonyWorld world model, Virtual Driver stack, and physical fleet infrastructure create structural moats that AI advancement only strengthens. Every advance in AI capability — perception, planning, reasoning — directly improves Pony.ai's product quality and operational efficiency. AI Opportunity (1/1): 100% of Pony.ai's $125M TTM revenue is AI-derived — robotaxi fare-charging ($12.1M Q2), autonomous trucking ($13.3M Q2), and intelligent driving solutions ($10.8M Q2) are all built on AI [1][7].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Pony AI Q2 2026 Earnings Release — Revenue up 69% to $36.2M, Robotaxi up 691%, stocktitan.net, August 2026</w:t>
      </w:r>
    </w:p>
    <w:p>
      <w:pPr>
        <w:spacing w:before="20" w:after="20"/>
        <w:ind w:left="170"/>
      </w:pPr>
      <w:r>
        <w:rPr>
          <w:rFonts w:ascii="Calibri" w:hAnsi="Calibri"/>
          <w:b/>
          <w:color w:val="4A6B25"/>
          <w:sz w:val="15"/>
        </w:rPr>
        <w:t xml:space="preserve">2. </w:t>
      </w:r>
      <w:r>
        <w:rPr>
          <w:rFonts w:ascii="Calibri" w:hAnsi="Calibri"/>
          <w:b w:val="0"/>
          <w:color w:val="3A4A28"/>
          <w:sz w:val="17"/>
        </w:rPr>
        <w:t>Pony AI Q1 2026 Earnings Transcript — The Motley Fool, May 2026</w:t>
      </w:r>
    </w:p>
    <w:p>
      <w:pPr>
        <w:spacing w:before="20" w:after="20"/>
        <w:ind w:left="170"/>
      </w:pPr>
      <w:r>
        <w:rPr>
          <w:rFonts w:ascii="Calibri" w:hAnsi="Calibri"/>
          <w:b/>
          <w:color w:val="4A6B25"/>
          <w:sz w:val="15"/>
        </w:rPr>
        <w:t xml:space="preserve">3. </w:t>
      </w:r>
      <w:r>
        <w:rPr>
          <w:rFonts w:ascii="Calibri" w:hAnsi="Calibri"/>
          <w:b w:val="0"/>
          <w:color w:val="3A4A28"/>
          <w:sz w:val="17"/>
        </w:rPr>
        <w:t>Pony AI CEO James Peng Interviews — Time, Fortune, CNBC, 2025-2026; Glassdoor employee reviews</w:t>
      </w:r>
    </w:p>
    <w:p>
      <w:pPr>
        <w:spacing w:before="20" w:after="20"/>
        <w:ind w:left="170"/>
      </w:pPr>
      <w:r>
        <w:rPr>
          <w:rFonts w:ascii="Calibri" w:hAnsi="Calibri"/>
          <w:b/>
          <w:color w:val="4A6B25"/>
          <w:sz w:val="15"/>
        </w:rPr>
        <w:t xml:space="preserve">4. </w:t>
      </w:r>
      <w:r>
        <w:rPr>
          <w:rFonts w:ascii="Calibri" w:hAnsi="Calibri"/>
          <w:b w:val="0"/>
          <w:color w:val="3A4A28"/>
          <w:sz w:val="17"/>
        </w:rPr>
        <w:t>Pony AI Inaugural ESG Report for FY2025 — SEC Form 6-K, April 2026</w:t>
      </w:r>
    </w:p>
    <w:p>
      <w:pPr>
        <w:spacing w:before="20" w:after="20"/>
        <w:ind w:left="170"/>
      </w:pPr>
      <w:r>
        <w:rPr>
          <w:rFonts w:ascii="Calibri" w:hAnsi="Calibri"/>
          <w:b/>
          <w:color w:val="4A6B25"/>
          <w:sz w:val="15"/>
        </w:rPr>
        <w:t xml:space="preserve">5. </w:t>
      </w:r>
      <w:r>
        <w:rPr>
          <w:rFonts w:ascii="Calibri" w:hAnsi="Calibri"/>
          <w:b w:val="0"/>
          <w:color w:val="3A4A28"/>
          <w:sz w:val="17"/>
        </w:rPr>
        <w:t>Pony AI and Toyota Gen-7 bZ4X Mass Production Partnership — Pony AI IR, February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PONY Key Statistics and Financial Data,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Pony AI Uber Partnership and European Deployment — BigGo Finance/StockTitan,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