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PORT</w:t>
      </w:r>
      <w:r>
        <w:rPr>
          <w:rFonts w:ascii="Calibri" w:hAnsi="Calibri"/>
          <w:b/>
          <w:color w:val="1A2010"/>
          <w:sz w:val="40"/>
        </w:rPr>
        <w:t xml:space="preserve">  Southport Acquisition II Corp.</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Shell Companies · NYSE · United States</w:t>
      </w:r>
    </w:p>
    <w:p>
      <w:pPr>
        <w:spacing w:after="80"/>
      </w:pPr>
      <w:r>
        <w:rPr>
          <w:rFonts w:ascii="Calibri" w:hAnsi="Calibri"/>
          <w:b w:val="0"/>
          <w:color w:val="3A4A28"/>
          <w:sz w:val="20"/>
        </w:rPr>
        <w:t>Southport Acquisition II Corp. is a blank check company (SPAC) that completed a $200M IPO on October 1, 2026, offering 20 million units at $10 each on the NYSE under the symbol PORT.U. Led by CEO Jeb Spencer (co-founder and Managing Partner of TVC Capital), the company intends to pursue an initial business combination focused on AI, including enterprise AI applications, workflow automation, AI data and governance, AI infrastructure, industrial AI and robotics, and healthcare AI and life-sciences software. No acquisition target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As a SPAC that IPO'd on October 1, 2026, Southport Acquisition II has no product launches, market pivots, or business model history — it is a blank check company with no operating business [1]. The predecessor Southport Acquisition I merged with Angel Studios (ANGX) in September 2025, demonstrating deal execution capability but in a different sector (Christian media vs. AI). AI Deployment (0/2): No AI products exist; the company has stated an intent to acquire AI-focused businesses but has not identified a target or deployed any technology [1]. Market Share (0/2): No market presence — the entity has no operations, products, or customers. Product Pipeline (0/2): The SPAC has outlined five AI sourcing areas (enterprise AI, workflow automation, AI governance, infrastructure, healthcare AI) but has not disclosed any specific acquisition target or timeline [1]. R&amp;D Intensity (1/1): While the SPAC itself has no R&amp;D, Jeb Spencer's TVC Capital background in software-focused growth equity provides relevant domain expertise for identifying AI targets, earning a minimal point for strategic intentionality.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Southport Acquisition II's stated purpose is to identify and acquire an AI-focused business — a financial objective rather than a mission or cause. There is no articulated vision of a future state worth sacrificing for, no purpose beyond completing a deal and returning value to shareholders [1]. Community Impact (0/2): No community or charitable programs exist; the entity has no employees, no operations, and no community presence. Employee Retention (0/2): Not applicable — the SPAC has no employees beyond the management team. Insider Buying (0/2): No insider buying data available; the SPAC was structured with standard sponsor economics including warrants.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because no financial operating metrics are available for a newly IPO'd blank check company. Southport Acquisition II has no revenue, no earnings, no operating margins, no debt-to-equity ratio, and no return on equity — the $200M in trust proceeds are held pending an acquisition [1]. All core and growth metrics (D/E, ROE, revenue growth, Forward P/E, profit margin, PEG ratio) are unavailable, yielding a mechanically scored 0. Liquidity status is indeterminate as the units (PORT.U) just began trading on October 1, 2026, with insufficient trading history to establish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 SPAC is, by definition, a finite game vehicle — it exists to complete an acquisition within a defined timeframe (typically 18-24 months) and return capital if it fails. Southport Acquisition II has no Just Cause, no organizational culture, no competitive learning, and no track record of strategic flexibility. The entity is a financial instrument, not an organization with a purpose. Sinek would identify this as the epitome of finite thinking: the game ends when the deal closes or the trust liquidates.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 SPAC has no Just Cause by design. Southport Acquisition II exists to identify an AI target, complete a merger, and deliver returns to shareholders within 18-24 months [1]. There is no articulated vision of a better future, no purpose beyond financial engineering, and no cause that would inspire people to sacrifice. This is the quintessential finite player.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applicable in any meaningful sense. The entity has no employees, no organizational culture, and no team dynamics to evaluate. The management team consists of CEO Jeb Spencer and a small group of advisors assembled for the deal [1]. There is no circle of safety because there is no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Not applicable. A SPAC does not compete in a market — it competes with other SPACs for acquisition targets, a purely transactional dynamic with no learning orientation. No evidence of competitive self-improvement or acknowledgment of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 SPAC has no flexibility by design — it must find a target within its timeline or return capital. Southport Acquisition II has not yet faced any strategic decisions that would test its flexibility [1]. The broad AI focus across five sub-sectors provides target optionality but this is deal-sourcing breadth, not existential flexibility in Sinek's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SPAC IPO'd nine days ago and has made no strategic choices yet [1]. Jeb Spencer's track record with the original Southport Acquisition (merged with Angel Studios) demonstrates deal-making capability but not the kind of long-term courage Sinek describes — choosing capability over quarterly earnings, investing during downturns, or walking away from profitable but misaligned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Southport Acquisition II at $10.00 (IPO price) with $200M in trust is a pre-revenue blank check company targeting AI acquisitions across enterprise applications, workflow automation, AI governance, infrastructure, and healthcare AI [1]. The SPAC is led by Jeb Spencer, whose TVC Capital background in software-focused growth equity provides relevant deal-sourcing capability, and whose prior Southport Acquisition I successfully merged with Angel Studios (now NYSE: ANGX). The broad AI focus positions the vehicle to capitalize on the AI spending wave, and the $200M trust size provides meaningful acquisition capacity for mid-market AI companies.</w:t>
      </w:r>
    </w:p>
    <w:p>
      <w:pPr>
        <w:spacing w:after="120"/>
      </w:pPr>
      <w:r>
        <w:rPr>
          <w:rFonts w:ascii="Calibri" w:hAnsi="Calibri"/>
          <w:b w:val="0"/>
          <w:color w:val="3A4A28"/>
          <w:sz w:val="20"/>
        </w:rPr>
        <w:t>The bear case is fundamental: SPACs have a poor historical track record, with over 60% of 2020-2021 vintage SPACs trading below their IPO price. The entity has no operating business, no revenue, no management team beyond the sponsors, and no disclosed acquisition target [1]. Shareholders face the standard SPAC risks: sponsor dilution through warrants (1/2 warrant per unit), the potential for a deal that benefits sponsors more than public shareholders, and the risk that the AI target is overvalued in a frothy market. The 18-24 month deal timeline means capital is locked in a low-return trust while the AI landscape evolves rapidly. If no suitable target is found, capital is returned at approximately $10/share minus expenses. The IOWN framework is not designed to evaluate blank check companies, and this report should be interpreted accordingly.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Identification and announcement of an AI acquisition target within the five disclosed focus areas — enterprise AI, workflow automation, AI governance, AI infrastructure, or healthcare AI — could drive significant unit price appreciation above the $10 trust value [1]</w:t>
      </w:r>
    </w:p>
    <w:p>
      <w:pPr>
        <w:spacing w:before="40" w:after="40"/>
        <w:ind w:left="283"/>
      </w:pPr>
      <w:r>
        <w:rPr>
          <w:rFonts w:ascii="Calibri" w:hAnsi="Calibri"/>
          <w:b/>
          <w:color w:val="4A6B25"/>
          <w:sz w:val="20"/>
        </w:rPr>
        <w:t xml:space="preserve">2. </w:t>
      </w:r>
      <w:r>
        <w:rPr>
          <w:rFonts w:ascii="Calibri" w:hAnsi="Calibri"/>
          <w:b w:val="0"/>
          <w:color w:val="3A4A28"/>
          <w:sz w:val="20"/>
        </w:rPr>
        <w:t>Jeb Spencer's TVC Capital network and prior SPAC execution (Angel Studios merger) provide deal-sourcing and execution capability in the software and AI ecosystem</w:t>
      </w:r>
    </w:p>
    <w:p>
      <w:pPr>
        <w:spacing w:before="40" w:after="40"/>
        <w:ind w:left="283"/>
      </w:pPr>
      <w:r>
        <w:rPr>
          <w:rFonts w:ascii="Calibri" w:hAnsi="Calibri"/>
          <w:b/>
          <w:color w:val="4A6B25"/>
          <w:sz w:val="20"/>
        </w:rPr>
        <w:t xml:space="preserve">3. </w:t>
      </w:r>
      <w:r>
        <w:rPr>
          <w:rFonts w:ascii="Calibri" w:hAnsi="Calibri"/>
          <w:b w:val="0"/>
          <w:color w:val="3A4A28"/>
          <w:sz w:val="20"/>
        </w:rPr>
        <w:t>Sustained AI enterprise spending growth through 2027 provides a favorable environment for identifying high-quality AI targets at reasonable valuations as the SPAC market normalizes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blank check entity with no operating business, no disclosed acquisition target, and no timeline — shareholders are betting entirely on management's ability to identify, negotiate, and close a value-creating AI deal within 18-24 months [1]</w:t>
      </w:r>
    </w:p>
    <w:p>
      <w:pPr>
        <w:spacing w:before="40" w:after="40"/>
        <w:ind w:left="283"/>
      </w:pPr>
      <w:r>
        <w:rPr>
          <w:rFonts w:ascii="Calibri" w:hAnsi="Calibri"/>
          <w:b/>
          <w:color w:val="4A6B25"/>
          <w:sz w:val="20"/>
        </w:rPr>
        <w:t xml:space="preserve">2. </w:t>
      </w:r>
      <w:r>
        <w:rPr>
          <w:rFonts w:ascii="Calibri" w:hAnsi="Calibri"/>
          <w:b w:val="0"/>
          <w:color w:val="3A4A28"/>
          <w:sz w:val="20"/>
        </w:rPr>
        <w:t>Standard SPAC structural risks — sponsor warrants providing 1/2 warrant per unit create meaningful dilution, and the sponsor promote structure misaligns incentives between sponsors who profit from any deal and shareholders who profit only from good deals</w:t>
      </w:r>
    </w:p>
    <w:p>
      <w:pPr>
        <w:spacing w:before="40" w:after="40"/>
        <w:ind w:left="283"/>
      </w:pPr>
      <w:r>
        <w:rPr>
          <w:rFonts w:ascii="Calibri" w:hAnsi="Calibri"/>
          <w:b/>
          <w:color w:val="4A6B25"/>
          <w:sz w:val="20"/>
        </w:rPr>
        <w:t xml:space="preserve">3. </w:t>
      </w:r>
      <w:r>
        <w:rPr>
          <w:rFonts w:ascii="Calibri" w:hAnsi="Calibri"/>
          <w:b w:val="0"/>
          <w:color w:val="3A4A28"/>
          <w:sz w:val="20"/>
        </w:rPr>
        <w:t>AI market froth risk — premium valuations across AI-related companies increase the probability of overpaying for a target, and the rapid pace of AI technology change means today's promising AI company could face obsolescence before the merger closes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Southport Acquisition II's risk profile is paradoxically both AI-exposed and AI-enabled. As a SPAC targeting AI companies for acquisition, the eventual operating business will be deeply embedded in the AI ecosystem — which means its success depends entirely on AI adoption trends and the competitive dynamics of whichever AI sub-sector it enters [1]. If AI spending decelerates, the acquisition target's revenue could be directly impacted. However, the company does not yet have an operating business, so the risk assessment is entirely speculative. The SPAC structure itself faces execution risk: over 60% of SPACs that went public in 2020-2021 have underperformed their IPO price. AI Opportunity (1/1): The explicit focus on AI acquisitions means the eventual business will, by definition, generate AI-related revenue — covering enterprise AI applications, workflow automation, AI infrastructure, and healthcare AI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Southport Acquisition II IPO — $200M Raised at $10/Unit, NYSE PORT.U, AI-Focused SPAC Led by Jeb Spencer (TVC Capital), Renaissance Capital and CryptoBriefing,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